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E18A" w14:textId="6401356B" w:rsidR="00840B12" w:rsidRPr="00C82FC2" w:rsidRDefault="00AC1C52" w:rsidP="009A5CF1">
      <w:pPr>
        <w:rPr>
          <w:rFonts w:asciiTheme="minorHAnsi" w:hAnsiTheme="minorHAnsi" w:cstheme="minorHAnsi"/>
          <w:sz w:val="36"/>
        </w:rPr>
      </w:pPr>
      <w:r w:rsidRPr="00C82FC2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71525F05" wp14:editId="00142D5E">
            <wp:extent cx="3125902" cy="12849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7386" cy="13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FD529" w14:textId="3A2B494A" w:rsidR="00370829" w:rsidRPr="00C82FC2" w:rsidRDefault="003A20E9" w:rsidP="009E1C7F">
      <w:pPr>
        <w:jc w:val="both"/>
        <w:rPr>
          <w:rFonts w:asciiTheme="minorHAnsi" w:hAnsiTheme="minorHAnsi" w:cstheme="minorHAnsi"/>
          <w:b/>
          <w:color w:val="3333CC"/>
          <w:sz w:val="22"/>
        </w:rPr>
      </w:pPr>
      <w:r w:rsidRPr="00C82FC2">
        <w:rPr>
          <w:rFonts w:asciiTheme="minorHAnsi" w:hAnsiTheme="minorHAnsi" w:cstheme="minorHAnsi"/>
          <w:b/>
          <w:color w:val="3333CC"/>
          <w:sz w:val="22"/>
        </w:rPr>
        <w:t>Plán genderové</w:t>
      </w:r>
      <w:r w:rsidR="00054AB9" w:rsidRPr="00C82FC2">
        <w:rPr>
          <w:rFonts w:asciiTheme="minorHAnsi" w:hAnsiTheme="minorHAnsi" w:cstheme="minorHAnsi"/>
          <w:b/>
          <w:color w:val="3333CC"/>
          <w:sz w:val="22"/>
        </w:rPr>
        <w:t xml:space="preserve"> rovnosti UMPRUM na léta 2022–</w:t>
      </w:r>
      <w:r w:rsidRPr="00C82FC2">
        <w:rPr>
          <w:rFonts w:asciiTheme="minorHAnsi" w:hAnsiTheme="minorHAnsi" w:cstheme="minorHAnsi"/>
          <w:b/>
          <w:color w:val="3333CC"/>
          <w:sz w:val="22"/>
        </w:rPr>
        <w:t>2026</w:t>
      </w:r>
    </w:p>
    <w:p w14:paraId="283A1507" w14:textId="77777777" w:rsidR="009A5CF1" w:rsidRPr="00C82FC2" w:rsidRDefault="009A5CF1" w:rsidP="009E1C7F">
      <w:pPr>
        <w:jc w:val="both"/>
        <w:rPr>
          <w:rFonts w:asciiTheme="minorHAnsi" w:hAnsiTheme="minorHAnsi" w:cstheme="minorHAnsi"/>
          <w:b/>
          <w:color w:val="3333CC"/>
          <w:sz w:val="22"/>
        </w:rPr>
      </w:pPr>
    </w:p>
    <w:p w14:paraId="581C5BD4" w14:textId="034BD51C" w:rsidR="009F4382" w:rsidRPr="00C82FC2" w:rsidRDefault="003340B3" w:rsidP="00602421">
      <w:pPr>
        <w:jc w:val="both"/>
        <w:rPr>
          <w:rFonts w:asciiTheme="minorHAnsi" w:hAnsiTheme="minorHAnsi" w:cstheme="minorHAnsi"/>
          <w:color w:val="ED7D31" w:themeColor="accent2"/>
          <w:sz w:val="20"/>
          <w:u w:val="single"/>
        </w:rPr>
      </w:pPr>
      <w:r w:rsidRPr="00C82FC2">
        <w:rPr>
          <w:rFonts w:asciiTheme="minorHAnsi" w:hAnsiTheme="minorHAnsi" w:cstheme="minorHAnsi"/>
          <w:b/>
          <w:color w:val="ED7D31" w:themeColor="accent2"/>
          <w:sz w:val="32"/>
          <w:u w:val="single"/>
        </w:rPr>
        <w:t xml:space="preserve">Vyhodnocení </w:t>
      </w:r>
      <w:r w:rsidR="00F931CF" w:rsidRPr="00C82FC2">
        <w:rPr>
          <w:rFonts w:asciiTheme="minorHAnsi" w:hAnsiTheme="minorHAnsi" w:cstheme="minorHAnsi"/>
          <w:b/>
          <w:color w:val="ED7D31" w:themeColor="accent2"/>
          <w:sz w:val="32"/>
          <w:u w:val="single"/>
        </w:rPr>
        <w:t>P</w:t>
      </w:r>
      <w:r w:rsidR="00840B12" w:rsidRPr="00C82FC2">
        <w:rPr>
          <w:rFonts w:asciiTheme="minorHAnsi" w:hAnsiTheme="minorHAnsi" w:cstheme="minorHAnsi"/>
          <w:b/>
          <w:color w:val="ED7D31" w:themeColor="accent2"/>
          <w:sz w:val="32"/>
          <w:u w:val="single"/>
        </w:rPr>
        <w:t xml:space="preserve">lánu </w:t>
      </w:r>
      <w:r w:rsidR="00F931CF" w:rsidRPr="00C82FC2">
        <w:rPr>
          <w:rFonts w:asciiTheme="minorHAnsi" w:hAnsiTheme="minorHAnsi" w:cstheme="minorHAnsi"/>
          <w:b/>
          <w:color w:val="ED7D31" w:themeColor="accent2"/>
          <w:sz w:val="32"/>
          <w:u w:val="single"/>
        </w:rPr>
        <w:t xml:space="preserve">genderové rovnosti </w:t>
      </w:r>
      <w:r w:rsidRPr="00C82FC2">
        <w:rPr>
          <w:rFonts w:asciiTheme="minorHAnsi" w:hAnsiTheme="minorHAnsi" w:cstheme="minorHAnsi"/>
          <w:b/>
          <w:color w:val="ED7D31" w:themeColor="accent2"/>
          <w:sz w:val="32"/>
          <w:u w:val="single"/>
        </w:rPr>
        <w:t>za rok 202</w:t>
      </w:r>
      <w:r w:rsidR="00857D93" w:rsidRPr="00C82FC2">
        <w:rPr>
          <w:rFonts w:asciiTheme="minorHAnsi" w:hAnsiTheme="minorHAnsi" w:cstheme="minorHAnsi"/>
          <w:b/>
          <w:color w:val="ED7D31" w:themeColor="accent2"/>
          <w:sz w:val="32"/>
          <w:u w:val="single"/>
        </w:rPr>
        <w:t>4</w:t>
      </w:r>
      <w:r w:rsidR="00840B12" w:rsidRPr="00C82FC2">
        <w:rPr>
          <w:rFonts w:asciiTheme="minorHAnsi" w:hAnsiTheme="minorHAnsi" w:cstheme="minorHAnsi"/>
          <w:b/>
          <w:color w:val="ED7D31" w:themeColor="accent2"/>
          <w:sz w:val="32"/>
          <w:u w:val="single"/>
        </w:rPr>
        <w:t>:</w:t>
      </w:r>
    </w:p>
    <w:p w14:paraId="2A7648F9" w14:textId="274ABD49" w:rsidR="00A728B6" w:rsidRPr="00C82FC2" w:rsidRDefault="00857D93" w:rsidP="00857D93">
      <w:pPr>
        <w:spacing w:before="240" w:after="240" w:line="276" w:lineRule="auto"/>
        <w:jc w:val="both"/>
        <w:rPr>
          <w:rFonts w:asciiTheme="minorHAnsi" w:eastAsia="Arial" w:hAnsiTheme="minorHAnsi" w:cstheme="minorHAnsi"/>
          <w:sz w:val="22"/>
          <w:szCs w:val="24"/>
        </w:rPr>
      </w:pPr>
      <w:r w:rsidRPr="00C82FC2">
        <w:rPr>
          <w:rFonts w:asciiTheme="minorHAnsi" w:hAnsiTheme="minorHAnsi" w:cstheme="minorHAnsi"/>
          <w:sz w:val="20"/>
          <w:szCs w:val="24"/>
        </w:rPr>
        <w:t xml:space="preserve">UMPRUM v roce 2024 pokračovala v naplňování Plánu genderové rovnosti (2022–2026), jehož cílem je vytvářet otevřené, bezpečné a férové pracovní a studijní prostředí. </w:t>
      </w:r>
      <w:r w:rsidRPr="00C82FC2">
        <w:rPr>
          <w:rFonts w:asciiTheme="minorHAnsi" w:hAnsiTheme="minorHAnsi" w:cstheme="minorHAnsi"/>
          <w:sz w:val="20"/>
          <w:szCs w:val="24"/>
        </w:rPr>
        <w:t xml:space="preserve">Za rok 2024 lze </w:t>
      </w:r>
      <w:r w:rsidRPr="00C82FC2">
        <w:rPr>
          <w:rFonts w:asciiTheme="minorHAnsi" w:hAnsiTheme="minorHAnsi" w:cstheme="minorHAnsi"/>
          <w:sz w:val="20"/>
          <w:szCs w:val="24"/>
        </w:rPr>
        <w:t>konstatovat stabilní a kontinuální plnění všech čtyř strategických oblastí, přičemž v některých došlo k dalšímu rozvoji.</w:t>
      </w:r>
    </w:p>
    <w:p w14:paraId="59BE01DF" w14:textId="4B68D16D" w:rsidR="00054AB9" w:rsidRPr="00C82FC2" w:rsidRDefault="004718FB" w:rsidP="00857D93">
      <w:pPr>
        <w:pStyle w:val="Odstavecseseznamem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b/>
          <w:color w:val="3333CC"/>
          <w:sz w:val="22"/>
          <w:szCs w:val="20"/>
        </w:rPr>
      </w:pPr>
      <w:r w:rsidRPr="00C82FC2">
        <w:rPr>
          <w:rFonts w:asciiTheme="minorHAnsi" w:hAnsiTheme="minorHAnsi" w:cstheme="minorHAnsi"/>
          <w:b/>
          <w:color w:val="3333CC"/>
          <w:sz w:val="22"/>
          <w:szCs w:val="20"/>
        </w:rPr>
        <w:t>OBLAST SLAĎOVÁNÍ OSOBNÍHO A PRACOVNÍHO ŽIVOTA</w:t>
      </w:r>
    </w:p>
    <w:p w14:paraId="55A308F7" w14:textId="48FF57D3" w:rsidR="00857D93" w:rsidRPr="00C82FC2" w:rsidRDefault="00857D93" w:rsidP="00857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V roce 2024 UMPRUM pokračovala v rozvoji opatření podporujících slaďování osobního a pracovního života, a to jak na úrovni systémových kroků, tak prostřednictvím dostupných podpůrných služeb.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Škola nadále podporuje flexibilní pracovní uspořádání a rozvíjí nástroje, které umožňují lépe reagovat na potřeby pracujících i studujících</w:t>
      </w:r>
      <w:r w:rsidR="008A0C99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, kteří pečují o dítě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. V návaznosti na kroky realizované v roce 2023 pokračovala spolupráce s dětskou skupinou „</w:t>
      </w:r>
      <w:proofErr w:type="spellStart"/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Pididomek</w:t>
      </w:r>
      <w:proofErr w:type="spellEnd"/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“, kde má UMPRUM zajištěno pět kapacitních míst pro děti zaměstnanců*kyň a studujících. Tato kapacita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i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v roce 2024 odpovídala aktuální poptávce</w:t>
      </w:r>
      <w:r w:rsidR="00151A94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.</w:t>
      </w:r>
      <w:r w:rsidR="008A0C99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Pravidelně dochází k dotazování mezi rodiči, zda kapacita dostačuje. </w:t>
      </w:r>
    </w:p>
    <w:p w14:paraId="5791F97A" w14:textId="6E60D63E" w:rsidR="00602421" w:rsidRPr="00C82FC2" w:rsidRDefault="00857D93" w:rsidP="006024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Současně pokrač</w:t>
      </w:r>
      <w:r w:rsidR="008A0C99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uje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příprava vzniku vlastní</w:t>
      </w:r>
      <w:r w:rsidR="008A0C99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ho dětského koutku na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UMPRUM, kter</w:t>
      </w:r>
      <w:r w:rsidR="008A0C99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ý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má do budoucna posílit kapacity péče o děti. </w:t>
      </w:r>
      <w:r w:rsidR="008A0C99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Již v roce 2023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probíhala identifikace vhodných prostor v rámci budovy Technologického centra Mikulandská, </w:t>
      </w:r>
      <w:r w:rsidR="00151A94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vznikly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architektonické studie a byla zahájena jednání s potenciálními provozovateli služby. Škola </w:t>
      </w:r>
      <w:r w:rsidR="008A0C99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aktuálně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hledá možnosti financování rekonstrukce </w:t>
      </w:r>
      <w:r w:rsidR="008A0C99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a kapacity pro úpravu vytipovaných prostor v budově Mikulandská. </w:t>
      </w:r>
    </w:p>
    <w:p w14:paraId="482618A9" w14:textId="77777777" w:rsidR="00C82FC2" w:rsidRPr="00C82FC2" w:rsidRDefault="00C82FC2" w:rsidP="006024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</w:p>
    <w:p w14:paraId="1FCCAF52" w14:textId="6340F5BE" w:rsidR="00C10C0C" w:rsidRPr="00C82FC2" w:rsidRDefault="004718FB" w:rsidP="009E1C7F">
      <w:pPr>
        <w:pStyle w:val="Odstavecseseznamem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2FC2">
        <w:rPr>
          <w:rFonts w:asciiTheme="minorHAnsi" w:hAnsiTheme="minorHAnsi" w:cstheme="minorHAnsi"/>
          <w:b/>
          <w:color w:val="3333CC"/>
          <w:sz w:val="22"/>
          <w:szCs w:val="20"/>
        </w:rPr>
        <w:t>GENDEROVÁ ROVNOST PŘI NÁBORU A KARIÉRNÍM POSTUPU</w:t>
      </w:r>
    </w:p>
    <w:p w14:paraId="30AE3251" w14:textId="13654BEC" w:rsidR="005E75D3" w:rsidRPr="00C82FC2" w:rsidRDefault="002F19DD" w:rsidP="002F19DD">
      <w:pPr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UMPRUM se dlouhodobě</w:t>
      </w:r>
      <w:r w:rsidR="00C82FC2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,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</w:t>
      </w:r>
      <w:r w:rsidR="005E75D3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i mimo agendu plánu genderové rovnosti</w:t>
      </w:r>
      <w:r w:rsidR="00C82FC2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,</w:t>
      </w:r>
      <w:r w:rsidR="005E75D3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snaží o to, aby kariérní postup zaměstnaných, i nábor pracovníků a pracovnic do nových pozic probíhal na základě transparentních kritérií. </w:t>
      </w:r>
    </w:p>
    <w:p w14:paraId="30DE6ABF" w14:textId="22738DC0" w:rsidR="002F19DD" w:rsidRDefault="002F19DD" w:rsidP="002F19DD">
      <w:pPr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Tyto oblasti jsou monitorovány a reflektovány v rámci personální politiky školy. </w:t>
      </w:r>
      <w:r w:rsidR="005E75D3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Za rok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202</w:t>
      </w:r>
      <w:r w:rsidR="005E75D3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4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byla zpracována statistika zastoupení žen a mužů na jednotlivých pracovních pozicích, která umožňuje sledovat vývoj genderové struktury napříč akademickými i neakademickými pozicemi.</w:t>
      </w:r>
      <w:r w:rsidR="00282BFB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</w:t>
      </w:r>
      <w:r w:rsidRPr="00282BFB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Současně je i nadále vedena průběžná evidence činností zaměstnaných nad rámec pracovního úvazku, které jsou zohledňovány v systému odměňování. Tato evidence přispívá k větší transparentnosti při rozdělování mimořádných odměn a umožňuje lépe reflektovat rozsah práce vykonávané nad rámec standardních pracovních povinností. </w:t>
      </w:r>
      <w:r w:rsidR="00282BFB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V roce 2024 je vydána směrnice rektora č. 15/2024 o odměnách za práci, která je vykonávána mimo pracovní poměr, což je mimo jiné, reakce na sběr statistických dat o činnostech nad rámec úvazku pracovníků a pracovnic. </w:t>
      </w:r>
    </w:p>
    <w:p w14:paraId="33B7E129" w14:textId="77777777" w:rsidR="00282BFB" w:rsidRPr="00C82FC2" w:rsidRDefault="00282BFB" w:rsidP="002F19DD">
      <w:pPr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</w:p>
    <w:p w14:paraId="595FB0CA" w14:textId="0E9E909B" w:rsidR="00054AB9" w:rsidRPr="00C82FC2" w:rsidRDefault="00054AB9" w:rsidP="00054AB9">
      <w:pPr>
        <w:pStyle w:val="Odstavecseseznamem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2FC2">
        <w:rPr>
          <w:rFonts w:asciiTheme="minorHAnsi" w:hAnsiTheme="minorHAnsi" w:cstheme="minorHAnsi"/>
          <w:b/>
          <w:color w:val="3333CC"/>
          <w:sz w:val="22"/>
          <w:szCs w:val="20"/>
        </w:rPr>
        <w:t>GENDEROVÁ ROVNOVÁHA VE VEDOUCÍCH POZICÍCH</w:t>
      </w:r>
    </w:p>
    <w:p w14:paraId="328964A7" w14:textId="77777777" w:rsidR="005E75D3" w:rsidRPr="00C82FC2" w:rsidRDefault="005E75D3" w:rsidP="002F19DD">
      <w:pPr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lastRenderedPageBreak/>
        <w:t xml:space="preserve">Na základě stanovených opatření byla i v roce </w:t>
      </w:r>
      <w:r w:rsidR="002F19DD" w:rsidRPr="00C82FC2">
        <w:rPr>
          <w:rFonts w:asciiTheme="minorHAnsi" w:eastAsia="Arial" w:hAnsiTheme="minorHAnsi" w:cstheme="minorHAnsi"/>
          <w:color w:val="auto"/>
          <w:sz w:val="20"/>
          <w:szCs w:val="22"/>
        </w:rPr>
        <w:t>202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4</w:t>
      </w:r>
      <w:r w:rsidR="002F19DD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vytvořena statistika sledující zastoupení mužů a žen v jednotlivých orgánech školy a ve vedoucích pozicích. </w:t>
      </w:r>
    </w:p>
    <w:p w14:paraId="1F11F077" w14:textId="714DBC58" w:rsidR="002F19DD" w:rsidRPr="00C82FC2" w:rsidRDefault="002F19DD" w:rsidP="002F19DD">
      <w:pPr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>Využívá se vzorový text pro výběrová řízení, který dbá na genderově neutrální jazyk a bere ohledy na rodiče.</w:t>
      </w:r>
      <w:r w:rsidR="005E75D3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 Ten se v praxi za dobu své existence odsvědčil. </w:t>
      </w:r>
    </w:p>
    <w:p w14:paraId="741E4E1E" w14:textId="6E4CC771" w:rsidR="00054AB9" w:rsidRPr="00C82FC2" w:rsidRDefault="002F19DD" w:rsidP="002F19DD">
      <w:pPr>
        <w:jc w:val="both"/>
        <w:rPr>
          <w:rFonts w:asciiTheme="minorHAnsi" w:eastAsia="Arial" w:hAnsiTheme="minorHAnsi" w:cstheme="minorHAnsi"/>
          <w:color w:val="auto"/>
          <w:sz w:val="20"/>
          <w:szCs w:val="22"/>
        </w:rPr>
      </w:pP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Získaná data slouží jako podklad pro průběžnou reflexi personální politiky školy a umožňují identifikovat oblasti, kde může docházet k nerovnováze v zastoupení žen a mužů. </w:t>
      </w:r>
      <w:r w:rsidR="005E75D3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Zároveň je třeba reflektovat, že v tak malé instituci, jako je UMPRUM a kde nedochází k velké fluktuaci pracovníků a pracovnic jsou tyto statistiky víceméně konzistentní. I přesto jsou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jednotlivé katedry </w:t>
      </w:r>
      <w:r w:rsidR="005E75D3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a vedení UMPRUM </w:t>
      </w:r>
      <w:r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motivovány k tomu, aby při plánování výběrových řízení a obsazování vedoucích pozic zohledňovaly principy rovnosti příležitostí. Cílem je postupně podporovat vyváženější zastoupení žen a mužů v rozhodovacích, akademických i neakademických rolích </w:t>
      </w:r>
      <w:r w:rsidR="005E75D3" w:rsidRPr="00C82FC2">
        <w:rPr>
          <w:rFonts w:asciiTheme="minorHAnsi" w:eastAsia="Arial" w:hAnsiTheme="minorHAnsi" w:cstheme="minorHAnsi"/>
          <w:color w:val="auto"/>
          <w:sz w:val="20"/>
          <w:szCs w:val="22"/>
        </w:rPr>
        <w:t xml:space="preserve">a posilovat též zastoupení žen v komisích. </w:t>
      </w:r>
    </w:p>
    <w:p w14:paraId="3C2C37AB" w14:textId="77777777" w:rsidR="00C82FC2" w:rsidRPr="00C82FC2" w:rsidRDefault="00C82FC2" w:rsidP="002F19D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7E99ED" w14:textId="01F46624" w:rsidR="00054AB9" w:rsidRPr="00C82FC2" w:rsidRDefault="00054AB9" w:rsidP="003D30A0">
      <w:pPr>
        <w:pStyle w:val="Odstavecseseznamem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2FC2">
        <w:rPr>
          <w:rFonts w:asciiTheme="minorHAnsi" w:hAnsiTheme="minorHAnsi" w:cstheme="minorHAnsi"/>
          <w:b/>
          <w:color w:val="3333CC"/>
          <w:sz w:val="22"/>
          <w:szCs w:val="20"/>
        </w:rPr>
        <w:t>ZAMEZENÍ GENDEROVĚ PODMÍNĚNÉMU NÁSILÍ</w:t>
      </w:r>
    </w:p>
    <w:p w14:paraId="1CF26F76" w14:textId="11C1193E" w:rsidR="00A728B6" w:rsidRPr="00C82FC2" w:rsidRDefault="003D30A0" w:rsidP="003D30A0">
      <w:pPr>
        <w:spacing w:before="240" w:after="240" w:line="276" w:lineRule="auto"/>
        <w:jc w:val="both"/>
        <w:rPr>
          <w:rFonts w:asciiTheme="minorHAnsi" w:eastAsia="Arial" w:hAnsiTheme="minorHAnsi" w:cstheme="minorHAnsi"/>
          <w:color w:val="auto"/>
          <w:sz w:val="20"/>
          <w:szCs w:val="20"/>
        </w:rPr>
      </w:pPr>
      <w:r w:rsidRPr="00C82FC2">
        <w:rPr>
          <w:rFonts w:asciiTheme="minorHAnsi" w:eastAsia="Arial" w:hAnsiTheme="minorHAnsi" w:cstheme="minorHAnsi"/>
          <w:color w:val="auto"/>
          <w:sz w:val="20"/>
          <w:szCs w:val="20"/>
        </w:rPr>
        <w:t xml:space="preserve">Součástí vytváření systému podpory jsou i </w:t>
      </w:r>
      <w:r w:rsidR="00A728B6" w:rsidRPr="00C82FC2">
        <w:rPr>
          <w:rFonts w:asciiTheme="minorHAnsi" w:eastAsia="Arial" w:hAnsiTheme="minorHAnsi" w:cstheme="minorHAnsi"/>
          <w:color w:val="auto"/>
          <w:sz w:val="20"/>
          <w:szCs w:val="20"/>
        </w:rPr>
        <w:t>preventivní aktivity</w:t>
      </w:r>
      <w:r w:rsidRPr="00C82FC2">
        <w:rPr>
          <w:rFonts w:asciiTheme="minorHAnsi" w:eastAsia="Arial" w:hAnsiTheme="minorHAnsi" w:cstheme="minorHAnsi"/>
          <w:color w:val="auto"/>
          <w:sz w:val="20"/>
          <w:szCs w:val="20"/>
        </w:rPr>
        <w:t>, které UMPRUM nadále podporuje a posiluje jejich směřování směrem k otázkám bezpečí</w:t>
      </w:r>
      <w:r w:rsidR="00A728B6" w:rsidRPr="00C82FC2">
        <w:rPr>
          <w:rFonts w:asciiTheme="minorHAnsi" w:eastAsia="Arial" w:hAnsiTheme="minorHAnsi" w:cstheme="minorHAnsi"/>
          <w:color w:val="auto"/>
          <w:sz w:val="20"/>
          <w:szCs w:val="20"/>
        </w:rPr>
        <w:t xml:space="preserve">. </w:t>
      </w:r>
      <w:r w:rsidR="00A728B6" w:rsidRPr="00C82FC2">
        <w:rPr>
          <w:rFonts w:asciiTheme="minorHAnsi" w:hAnsiTheme="minorHAnsi" w:cstheme="minorHAnsi"/>
          <w:sz w:val="20"/>
          <w:szCs w:val="20"/>
        </w:rPr>
        <w:t>V roce 202</w:t>
      </w:r>
      <w:r w:rsidRPr="00C82FC2">
        <w:rPr>
          <w:rFonts w:asciiTheme="minorHAnsi" w:hAnsiTheme="minorHAnsi" w:cstheme="minorHAnsi"/>
          <w:sz w:val="20"/>
          <w:szCs w:val="20"/>
        </w:rPr>
        <w:t>4</w:t>
      </w:r>
      <w:r w:rsidR="00A728B6" w:rsidRPr="00C82FC2">
        <w:rPr>
          <w:rFonts w:asciiTheme="minorHAnsi" w:hAnsiTheme="minorHAnsi" w:cstheme="minorHAnsi"/>
          <w:sz w:val="20"/>
          <w:szCs w:val="20"/>
        </w:rPr>
        <w:t xml:space="preserve"> proběhlo </w:t>
      </w:r>
      <w:r w:rsidRPr="00C82FC2">
        <w:rPr>
          <w:rFonts w:asciiTheme="minorHAnsi" w:hAnsiTheme="minorHAnsi" w:cstheme="minorHAnsi"/>
          <w:sz w:val="20"/>
          <w:szCs w:val="20"/>
        </w:rPr>
        <w:t xml:space="preserve">online </w:t>
      </w:r>
      <w:r w:rsidR="00A728B6" w:rsidRPr="00C82FC2">
        <w:rPr>
          <w:rFonts w:asciiTheme="minorHAnsi" w:hAnsiTheme="minorHAnsi" w:cstheme="minorHAnsi"/>
          <w:sz w:val="20"/>
          <w:szCs w:val="20"/>
        </w:rPr>
        <w:t xml:space="preserve">školení zaměřené na téma </w:t>
      </w:r>
      <w:r w:rsidRPr="00C82FC2">
        <w:rPr>
          <w:rFonts w:asciiTheme="minorHAnsi" w:hAnsiTheme="minorHAnsi" w:cstheme="minorHAnsi"/>
          <w:sz w:val="20"/>
          <w:szCs w:val="20"/>
        </w:rPr>
        <w:t xml:space="preserve">bezpečného akademického prostředí od organizace </w:t>
      </w:r>
      <w:proofErr w:type="spellStart"/>
      <w:r w:rsidRPr="00C82FC2">
        <w:rPr>
          <w:rFonts w:asciiTheme="minorHAnsi" w:hAnsiTheme="minorHAnsi" w:cstheme="minorHAnsi"/>
          <w:sz w:val="20"/>
          <w:szCs w:val="20"/>
        </w:rPr>
        <w:t>Konsent</w:t>
      </w:r>
      <w:proofErr w:type="spellEnd"/>
      <w:r w:rsidRPr="00C82FC2">
        <w:rPr>
          <w:rFonts w:asciiTheme="minorHAnsi" w:hAnsiTheme="minorHAnsi" w:cstheme="minorHAnsi"/>
          <w:sz w:val="20"/>
          <w:szCs w:val="20"/>
        </w:rPr>
        <w:t xml:space="preserve">, který byl pro pracující. Dále proběhlo vzdělávání od organizace Moderní sebeobrana, které bylo určeno jak studujícím, tak pracujícím. </w:t>
      </w:r>
      <w:r w:rsidRPr="00C82FC2">
        <w:rPr>
          <w:rFonts w:asciiTheme="minorHAnsi" w:hAnsiTheme="minorHAnsi" w:cstheme="minorHAnsi"/>
          <w:sz w:val="20"/>
          <w:szCs w:val="20"/>
        </w:rPr>
        <w:t>Školení poskytl</w:t>
      </w:r>
      <w:r w:rsidRPr="00C82FC2">
        <w:rPr>
          <w:rFonts w:asciiTheme="minorHAnsi" w:hAnsiTheme="minorHAnsi" w:cstheme="minorHAnsi"/>
          <w:sz w:val="20"/>
          <w:szCs w:val="20"/>
        </w:rPr>
        <w:t>a</w:t>
      </w:r>
      <w:r w:rsidRPr="00C82FC2">
        <w:rPr>
          <w:rFonts w:asciiTheme="minorHAnsi" w:hAnsiTheme="minorHAnsi" w:cstheme="minorHAnsi"/>
          <w:sz w:val="20"/>
          <w:szCs w:val="20"/>
        </w:rPr>
        <w:t xml:space="preserve"> základní vhled do toho, jak identifikovat nevhodné či rizikové chování, jak na něj adekvátně reagovat a jaké jsou dostupné cesty podpory a řešení. Přispělo tím k posílení bezpečného pracovního i studijního prostředí a k větší citlivosti vůči tématům genderově podmíněného násilí a nerovného zacházení.</w:t>
      </w:r>
    </w:p>
    <w:p w14:paraId="38018D14" w14:textId="043DFB7B" w:rsidR="00B068AF" w:rsidRPr="00C82FC2" w:rsidRDefault="00B068AF" w:rsidP="003D30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Arial" w:hAnsiTheme="minorHAnsi" w:cstheme="minorHAnsi"/>
          <w:color w:val="auto"/>
          <w:sz w:val="20"/>
          <w:szCs w:val="20"/>
        </w:rPr>
      </w:pPr>
      <w:r w:rsidRPr="00C82FC2">
        <w:rPr>
          <w:rFonts w:asciiTheme="minorHAnsi" w:hAnsiTheme="minorHAnsi" w:cstheme="minorHAnsi"/>
          <w:sz w:val="20"/>
          <w:szCs w:val="20"/>
        </w:rPr>
        <w:t>Plánuje se obsazení pozice speciální pedagožky, která bude poskytovat odbornou podporu studujícím i pracujícím v situacích souvisejících se specifickými potřebami, zátěží či studijními a pracovními obtížemi. Její působení přispěje k včasnému rozpoznání náročných situací a k nastavení adekvátní podpory, čímž zároveň posílí celkový systém podpory</w:t>
      </w:r>
      <w:r w:rsidRPr="00C82FC2">
        <w:rPr>
          <w:rFonts w:asciiTheme="minorHAnsi" w:hAnsiTheme="minorHAnsi" w:cstheme="minorHAnsi"/>
          <w:sz w:val="20"/>
          <w:szCs w:val="20"/>
        </w:rPr>
        <w:t xml:space="preserve">, vytváření </w:t>
      </w:r>
      <w:proofErr w:type="spellStart"/>
      <w:r w:rsidRPr="00C82FC2">
        <w:rPr>
          <w:rFonts w:asciiTheme="minorHAnsi" w:hAnsiTheme="minorHAnsi" w:cstheme="minorHAnsi"/>
          <w:sz w:val="20"/>
          <w:szCs w:val="20"/>
        </w:rPr>
        <w:t>inklizivnějšího</w:t>
      </w:r>
      <w:proofErr w:type="spellEnd"/>
      <w:r w:rsidRPr="00C82FC2">
        <w:rPr>
          <w:rFonts w:asciiTheme="minorHAnsi" w:hAnsiTheme="minorHAnsi" w:cstheme="minorHAnsi"/>
          <w:sz w:val="20"/>
          <w:szCs w:val="20"/>
        </w:rPr>
        <w:t xml:space="preserve"> prostředí</w:t>
      </w:r>
      <w:r w:rsidRPr="00C82FC2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C82FC2">
        <w:rPr>
          <w:rFonts w:asciiTheme="minorHAnsi" w:hAnsiTheme="minorHAnsi" w:cstheme="minorHAnsi"/>
          <w:sz w:val="20"/>
          <w:szCs w:val="20"/>
        </w:rPr>
        <w:t>well-beingu</w:t>
      </w:r>
      <w:proofErr w:type="spellEnd"/>
      <w:r w:rsidRPr="00C82FC2">
        <w:rPr>
          <w:rFonts w:asciiTheme="minorHAnsi" w:hAnsiTheme="minorHAnsi" w:cstheme="minorHAnsi"/>
          <w:sz w:val="20"/>
          <w:szCs w:val="20"/>
        </w:rPr>
        <w:t xml:space="preserve"> v instituci.</w:t>
      </w:r>
    </w:p>
    <w:p w14:paraId="3BB731F3" w14:textId="2C9427B4" w:rsidR="00370829" w:rsidRPr="00C82FC2" w:rsidRDefault="00B068AF" w:rsidP="003D30A0">
      <w:pPr>
        <w:spacing w:before="240"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2FC2">
        <w:rPr>
          <w:rFonts w:asciiTheme="minorHAnsi" w:hAnsiTheme="minorHAnsi" w:cstheme="minorHAnsi"/>
          <w:sz w:val="20"/>
          <w:szCs w:val="20"/>
        </w:rPr>
        <w:t>Po střelbě na filosofické fakultě UK je spuštěna na 2 semestry skupina pro studující, která tématu (nejen genderově podmíněné</w:t>
      </w:r>
      <w:r w:rsidR="00AE06B2" w:rsidRPr="00C82FC2">
        <w:rPr>
          <w:rFonts w:asciiTheme="minorHAnsi" w:hAnsiTheme="minorHAnsi" w:cstheme="minorHAnsi"/>
          <w:sz w:val="20"/>
          <w:szCs w:val="20"/>
        </w:rPr>
        <w:t>ho</w:t>
      </w:r>
      <w:r w:rsidRPr="00C82FC2">
        <w:rPr>
          <w:rFonts w:asciiTheme="minorHAnsi" w:hAnsiTheme="minorHAnsi" w:cstheme="minorHAnsi"/>
          <w:sz w:val="20"/>
          <w:szCs w:val="20"/>
        </w:rPr>
        <w:t xml:space="preserve">) </w:t>
      </w:r>
      <w:r w:rsidR="003D30A0" w:rsidRPr="00C82FC2">
        <w:rPr>
          <w:rFonts w:asciiTheme="minorHAnsi" w:hAnsiTheme="minorHAnsi" w:cstheme="minorHAnsi"/>
          <w:sz w:val="20"/>
          <w:szCs w:val="20"/>
        </w:rPr>
        <w:t xml:space="preserve">násilí </w:t>
      </w:r>
      <w:r w:rsidRPr="00C82FC2">
        <w:rPr>
          <w:rFonts w:asciiTheme="minorHAnsi" w:hAnsiTheme="minorHAnsi" w:cstheme="minorHAnsi"/>
          <w:sz w:val="20"/>
          <w:szCs w:val="20"/>
        </w:rPr>
        <w:t>věnuje 1x za 14 dní 2 hodiny.</w:t>
      </w:r>
      <w:r w:rsidR="003D30A0" w:rsidRPr="00C82FC2">
        <w:rPr>
          <w:rFonts w:asciiTheme="minorHAnsi" w:hAnsiTheme="minorHAnsi" w:cstheme="minorHAnsi"/>
          <w:sz w:val="20"/>
          <w:szCs w:val="20"/>
        </w:rPr>
        <w:t xml:space="preserve"> </w:t>
      </w:r>
      <w:r w:rsidR="007E484B" w:rsidRPr="00C82FC2">
        <w:rPr>
          <w:rFonts w:asciiTheme="minorHAnsi" w:hAnsiTheme="minorHAnsi" w:cstheme="minorHAnsi"/>
          <w:sz w:val="20"/>
          <w:szCs w:val="20"/>
        </w:rPr>
        <w:t xml:space="preserve">V rámci podpory pracujících </w:t>
      </w:r>
      <w:r w:rsidR="0009316A" w:rsidRPr="00C82FC2">
        <w:rPr>
          <w:rFonts w:asciiTheme="minorHAnsi" w:hAnsiTheme="minorHAnsi" w:cstheme="minorHAnsi"/>
          <w:sz w:val="20"/>
          <w:szCs w:val="20"/>
        </w:rPr>
        <w:t xml:space="preserve">dále </w:t>
      </w:r>
      <w:r w:rsidR="007E484B" w:rsidRPr="00C82FC2">
        <w:rPr>
          <w:rFonts w:asciiTheme="minorHAnsi" w:hAnsiTheme="minorHAnsi" w:cstheme="minorHAnsi"/>
          <w:sz w:val="20"/>
          <w:szCs w:val="20"/>
        </w:rPr>
        <w:t xml:space="preserve">probíhala 1x měsíčně </w:t>
      </w:r>
      <w:proofErr w:type="spellStart"/>
      <w:r w:rsidR="007E484B" w:rsidRPr="00C82FC2">
        <w:rPr>
          <w:rFonts w:asciiTheme="minorHAnsi" w:hAnsiTheme="minorHAnsi" w:cstheme="minorHAnsi"/>
          <w:sz w:val="20"/>
          <w:szCs w:val="20"/>
        </w:rPr>
        <w:t>intervizní</w:t>
      </w:r>
      <w:proofErr w:type="spellEnd"/>
      <w:r w:rsidR="007E484B" w:rsidRPr="00C82FC2">
        <w:rPr>
          <w:rFonts w:asciiTheme="minorHAnsi" w:hAnsiTheme="minorHAnsi" w:cstheme="minorHAnsi"/>
          <w:sz w:val="20"/>
          <w:szCs w:val="20"/>
        </w:rPr>
        <w:t xml:space="preserve"> skupina.</w:t>
      </w:r>
      <w:r w:rsidR="0009316A" w:rsidRPr="00C82FC2">
        <w:rPr>
          <w:rFonts w:asciiTheme="minorHAnsi" w:hAnsiTheme="minorHAnsi" w:cstheme="minorHAnsi"/>
          <w:sz w:val="20"/>
          <w:szCs w:val="20"/>
        </w:rPr>
        <w:t xml:space="preserve"> </w:t>
      </w:r>
      <w:r w:rsidR="00054AB9" w:rsidRPr="00C82FC2">
        <w:rPr>
          <w:rFonts w:asciiTheme="minorHAnsi" w:eastAsia="Arial" w:hAnsiTheme="minorHAnsi" w:cstheme="minorHAnsi"/>
          <w:color w:val="auto"/>
          <w:sz w:val="20"/>
          <w:szCs w:val="20"/>
        </w:rPr>
        <w:t xml:space="preserve">Na UMPRUM také každoročně probíhá studentské hodnocení kvality studia, které monitoruje mj. i pocit bezpečí studujících v rámci výuky. </w:t>
      </w:r>
    </w:p>
    <w:p w14:paraId="00BBE585" w14:textId="1F9F16E0" w:rsidR="00B068AF" w:rsidRPr="0009316A" w:rsidRDefault="00B068AF" w:rsidP="0009316A">
      <w:pPr>
        <w:spacing w:line="276" w:lineRule="auto"/>
        <w:rPr>
          <w:sz w:val="20"/>
          <w:szCs w:val="18"/>
        </w:rPr>
        <w:sectPr w:rsidR="00B068AF" w:rsidRPr="0009316A" w:rsidSect="00840B12">
          <w:footerReference w:type="default" r:id="rId9"/>
          <w:pgSz w:w="11906" w:h="16838"/>
          <w:pgMar w:top="1417" w:right="1417" w:bottom="1417" w:left="1417" w:header="708" w:footer="1880" w:gutter="0"/>
          <w:cols w:space="708"/>
          <w:titlePg/>
          <w:docGrid w:linePitch="360"/>
        </w:sectPr>
      </w:pPr>
    </w:p>
    <w:p w14:paraId="284F514C" w14:textId="3A68D196" w:rsidR="008F7B1B" w:rsidRPr="00DC3B64" w:rsidRDefault="00DC3B64" w:rsidP="008F7B1B">
      <w:pPr>
        <w:rPr>
          <w:b/>
          <w:color w:val="3333CC"/>
          <w:sz w:val="24"/>
        </w:rPr>
      </w:pPr>
      <w:r w:rsidRPr="00DC3B64">
        <w:rPr>
          <w:b/>
          <w:color w:val="3333CC"/>
          <w:sz w:val="24"/>
        </w:rPr>
        <w:lastRenderedPageBreak/>
        <w:t>1. STRATEGICKÝ CÍL: SLAĎOVÁNÍ OSOBNÍHO A PRACOVNÍHO ŽIVOTA</w:t>
      </w:r>
    </w:p>
    <w:tbl>
      <w:tblPr>
        <w:tblStyle w:val="Mkatabulky"/>
        <w:tblpPr w:leftFromText="141" w:rightFromText="141" w:horzAnchor="margin" w:tblpXSpec="center" w:tblpY="900"/>
        <w:tblW w:w="16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40"/>
        <w:gridCol w:w="2561"/>
        <w:gridCol w:w="2435"/>
        <w:gridCol w:w="1765"/>
        <w:gridCol w:w="1896"/>
        <w:gridCol w:w="1265"/>
        <w:gridCol w:w="4136"/>
      </w:tblGrid>
      <w:tr w:rsidR="00282BFB" w14:paraId="654046B2" w14:textId="77777777" w:rsidTr="00054AB9">
        <w:trPr>
          <w:trHeight w:val="688"/>
        </w:trPr>
        <w:tc>
          <w:tcPr>
            <w:tcW w:w="2117" w:type="dxa"/>
            <w:shd w:val="clear" w:color="auto" w:fill="FFFFFF" w:themeFill="background1"/>
          </w:tcPr>
          <w:p w14:paraId="7083EFFD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109AB9AB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673" w:type="dxa"/>
            <w:shd w:val="clear" w:color="auto" w:fill="FFFFFF" w:themeFill="background1"/>
          </w:tcPr>
          <w:p w14:paraId="1AD1993C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75F04A8A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535" w:type="dxa"/>
            <w:shd w:val="clear" w:color="auto" w:fill="FFFFFF" w:themeFill="background1"/>
          </w:tcPr>
          <w:p w14:paraId="1E6895BB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D44FBAE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831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4A780665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799A35C4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972" w:type="dxa"/>
            <w:shd w:val="clear" w:color="auto" w:fill="FFFFFF" w:themeFill="background1"/>
          </w:tcPr>
          <w:p w14:paraId="2C0DA1AE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2006542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628" w:type="dxa"/>
            <w:shd w:val="clear" w:color="auto" w:fill="FFFFFF" w:themeFill="background1"/>
          </w:tcPr>
          <w:p w14:paraId="04394EAD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58BF115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42" w:type="dxa"/>
            <w:shd w:val="clear" w:color="auto" w:fill="FFFFFF" w:themeFill="background1"/>
          </w:tcPr>
          <w:p w14:paraId="76799412" w14:textId="77777777" w:rsidR="00AD4861" w:rsidRDefault="00AD4861" w:rsidP="00AD4861">
            <w:pPr>
              <w:rPr>
                <w:b/>
                <w:color w:val="3333CC"/>
                <w:sz w:val="20"/>
              </w:rPr>
            </w:pPr>
          </w:p>
          <w:p w14:paraId="04AC68E2" w14:textId="6ED02E76" w:rsidR="00AD4861" w:rsidRPr="00DC3B64" w:rsidRDefault="00054AB9" w:rsidP="00AD4861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857D93">
              <w:rPr>
                <w:b/>
                <w:color w:val="3333CC"/>
                <w:sz w:val="20"/>
              </w:rPr>
              <w:t>4</w:t>
            </w:r>
          </w:p>
        </w:tc>
      </w:tr>
      <w:tr w:rsidR="00282BFB" w14:paraId="14458D97" w14:textId="77777777" w:rsidTr="00054AB9">
        <w:trPr>
          <w:trHeight w:val="1896"/>
        </w:trPr>
        <w:tc>
          <w:tcPr>
            <w:tcW w:w="2117" w:type="dxa"/>
            <w:vMerge w:val="restart"/>
          </w:tcPr>
          <w:p w14:paraId="6DE4F506" w14:textId="77777777" w:rsidR="00AD4861" w:rsidRDefault="00AD4861" w:rsidP="00AD4861">
            <w:pPr>
              <w:rPr>
                <w:b/>
                <w:sz w:val="20"/>
              </w:rPr>
            </w:pPr>
          </w:p>
          <w:p w14:paraId="0398E9A2" w14:textId="77777777" w:rsidR="00AD4861" w:rsidRPr="00F95EA3" w:rsidRDefault="00AD4861" w:rsidP="00AD4861">
            <w:pPr>
              <w:rPr>
                <w:b/>
                <w:sz w:val="20"/>
              </w:rPr>
            </w:pPr>
            <w:r w:rsidRPr="00F95EA3">
              <w:rPr>
                <w:b/>
                <w:sz w:val="20"/>
              </w:rPr>
              <w:t xml:space="preserve">A.1 </w:t>
            </w:r>
          </w:p>
          <w:p w14:paraId="1C47A879" w14:textId="77777777" w:rsidR="00AD4861" w:rsidRPr="00F95EA3" w:rsidRDefault="00AD4861" w:rsidP="00AD4861">
            <w:pPr>
              <w:rPr>
                <w:b/>
                <w:sz w:val="20"/>
              </w:rPr>
            </w:pPr>
            <w:r w:rsidRPr="00F95EA3">
              <w:rPr>
                <w:b/>
                <w:sz w:val="20"/>
              </w:rPr>
              <w:t>Je zajištěn časový ohled na rodiče.</w:t>
            </w:r>
          </w:p>
          <w:p w14:paraId="0416DB6A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2673" w:type="dxa"/>
          </w:tcPr>
          <w:p w14:paraId="7BEC207C" w14:textId="77777777" w:rsidR="00AD4861" w:rsidRDefault="00AD4861" w:rsidP="00AD4861">
            <w:pPr>
              <w:rPr>
                <w:sz w:val="20"/>
              </w:rPr>
            </w:pPr>
          </w:p>
          <w:p w14:paraId="2CA730FB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Všechny důležité a strategické aktivity uvnitř školy směřovat do standardní pracovní doby, nikoliv do večerních hodin.</w:t>
            </w:r>
          </w:p>
        </w:tc>
        <w:tc>
          <w:tcPr>
            <w:tcW w:w="2535" w:type="dxa"/>
          </w:tcPr>
          <w:p w14:paraId="250ED172" w14:textId="77777777" w:rsidR="00AD4861" w:rsidRDefault="00AD4861" w:rsidP="00AD4861">
            <w:pPr>
              <w:rPr>
                <w:i/>
                <w:sz w:val="20"/>
              </w:rPr>
            </w:pPr>
          </w:p>
          <w:p w14:paraId="4485C819" w14:textId="77777777" w:rsidR="00AD4861" w:rsidRPr="00F95EA3" w:rsidRDefault="00AD4861" w:rsidP="00AD4861">
            <w:pPr>
              <w:rPr>
                <w:i/>
                <w:sz w:val="20"/>
              </w:rPr>
            </w:pPr>
            <w:r w:rsidRPr="00F95EA3">
              <w:rPr>
                <w:i/>
                <w:sz w:val="20"/>
              </w:rPr>
              <w:t>Vydáno doporučení</w:t>
            </w:r>
          </w:p>
        </w:tc>
        <w:tc>
          <w:tcPr>
            <w:tcW w:w="1831" w:type="dxa"/>
          </w:tcPr>
          <w:p w14:paraId="5B5A3E13" w14:textId="77777777" w:rsidR="00AD4861" w:rsidRDefault="00AD4861" w:rsidP="00AD4861">
            <w:pPr>
              <w:rPr>
                <w:sz w:val="20"/>
              </w:rPr>
            </w:pPr>
          </w:p>
          <w:p w14:paraId="300C3452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Pracující</w:t>
            </w:r>
          </w:p>
          <w:p w14:paraId="5F400A53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Studující</w:t>
            </w:r>
          </w:p>
          <w:p w14:paraId="36D8F881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1972" w:type="dxa"/>
          </w:tcPr>
          <w:p w14:paraId="3CC24B59" w14:textId="77777777" w:rsidR="00AD4861" w:rsidRDefault="00AD4861" w:rsidP="00AD4861">
            <w:pPr>
              <w:rPr>
                <w:sz w:val="20"/>
              </w:rPr>
            </w:pPr>
          </w:p>
          <w:p w14:paraId="04D1710C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Prosinec 2023</w:t>
            </w:r>
          </w:p>
        </w:tc>
        <w:tc>
          <w:tcPr>
            <w:tcW w:w="628" w:type="dxa"/>
          </w:tcPr>
          <w:p w14:paraId="71EA996C" w14:textId="77777777" w:rsidR="00AD4861" w:rsidRDefault="00AD4861" w:rsidP="00AD4861">
            <w:pPr>
              <w:rPr>
                <w:sz w:val="20"/>
              </w:rPr>
            </w:pPr>
          </w:p>
          <w:p w14:paraId="500CA9B0" w14:textId="15CFBEAD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Prorektoři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/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prorektorky, předseda / předsedkyně AS</w:t>
            </w:r>
          </w:p>
        </w:tc>
        <w:tc>
          <w:tcPr>
            <w:tcW w:w="4342" w:type="dxa"/>
          </w:tcPr>
          <w:p w14:paraId="7A372E29" w14:textId="77777777" w:rsidR="00AD4861" w:rsidRDefault="00AD4861" w:rsidP="00AD4861">
            <w:pPr>
              <w:rPr>
                <w:sz w:val="20"/>
              </w:rPr>
            </w:pPr>
          </w:p>
          <w:p w14:paraId="6C44BA22" w14:textId="26F839ED" w:rsidR="00054AB9" w:rsidRPr="00C82FC2" w:rsidRDefault="00054AB9" w:rsidP="00054AB9">
            <w:pPr>
              <w:rPr>
                <w:rFonts w:eastAsia="Calibri" w:cs="Calibri"/>
                <w:color w:val="auto"/>
                <w:sz w:val="20"/>
                <w:szCs w:val="20"/>
              </w:rPr>
            </w:pPr>
            <w:r w:rsidRPr="00C82FC2">
              <w:rPr>
                <w:color w:val="auto"/>
                <w:sz w:val="20"/>
                <w:szCs w:val="20"/>
              </w:rPr>
              <w:t xml:space="preserve">Bylo vydáno doporučení týkající se směřování důležitých a strategických aktivit uvnitř školy do rámce standardní pracovní doby. </w:t>
            </w:r>
            <w:r w:rsidR="003E62D3" w:rsidRPr="00C82FC2">
              <w:rPr>
                <w:rFonts w:eastAsia="Calibri" w:cs="Calibri"/>
                <w:color w:val="auto"/>
                <w:sz w:val="20"/>
                <w:szCs w:val="20"/>
              </w:rPr>
              <w:t>K dohledání</w:t>
            </w:r>
            <w:r w:rsidRPr="00C82FC2">
              <w:rPr>
                <w:rFonts w:eastAsia="Calibri" w:cs="Calibri"/>
                <w:color w:val="auto"/>
                <w:sz w:val="20"/>
                <w:szCs w:val="20"/>
              </w:rPr>
              <w:t xml:space="preserve"> v zápisu jednání RKR 1/2024.</w:t>
            </w:r>
            <w:r w:rsidR="005E217C" w:rsidRPr="00C82FC2">
              <w:rPr>
                <w:rFonts w:eastAsia="Calibri" w:cs="Calibri"/>
                <w:color w:val="auto"/>
                <w:sz w:val="20"/>
                <w:szCs w:val="20"/>
              </w:rPr>
              <w:t xml:space="preserve"> Toto doporučení je stále platné.</w:t>
            </w:r>
          </w:p>
          <w:p w14:paraId="10D69CAF" w14:textId="321567AD" w:rsidR="002F1D4E" w:rsidRDefault="002F1D4E" w:rsidP="00AD4861">
            <w:pPr>
              <w:rPr>
                <w:sz w:val="20"/>
              </w:rPr>
            </w:pPr>
          </w:p>
        </w:tc>
      </w:tr>
      <w:tr w:rsidR="00282BFB" w14:paraId="5B6943EB" w14:textId="77777777" w:rsidTr="00054AB9">
        <w:trPr>
          <w:trHeight w:val="2168"/>
        </w:trPr>
        <w:tc>
          <w:tcPr>
            <w:tcW w:w="2117" w:type="dxa"/>
            <w:vMerge/>
          </w:tcPr>
          <w:p w14:paraId="4B558D2E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2673" w:type="dxa"/>
          </w:tcPr>
          <w:p w14:paraId="2C1607D0" w14:textId="77777777" w:rsidR="00AD4861" w:rsidRDefault="00AD4861" w:rsidP="00AD4861">
            <w:pPr>
              <w:rPr>
                <w:sz w:val="20"/>
              </w:rPr>
            </w:pPr>
          </w:p>
          <w:p w14:paraId="643671D4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Vytvoření dětského koutku / skupina.</w:t>
            </w:r>
          </w:p>
        </w:tc>
        <w:tc>
          <w:tcPr>
            <w:tcW w:w="2535" w:type="dxa"/>
          </w:tcPr>
          <w:p w14:paraId="17B9C5DC" w14:textId="77777777" w:rsidR="00AD4861" w:rsidRDefault="00AD4861" w:rsidP="00AD4861">
            <w:pPr>
              <w:rPr>
                <w:i/>
                <w:sz w:val="20"/>
              </w:rPr>
            </w:pPr>
          </w:p>
          <w:p w14:paraId="4CE8355B" w14:textId="77777777" w:rsidR="00AD4861" w:rsidRPr="00F95EA3" w:rsidRDefault="00AD4861" w:rsidP="00AD4861">
            <w:pPr>
              <w:rPr>
                <w:i/>
                <w:sz w:val="20"/>
              </w:rPr>
            </w:pPr>
            <w:r w:rsidRPr="00F95EA3">
              <w:rPr>
                <w:i/>
                <w:sz w:val="20"/>
              </w:rPr>
              <w:t>Je vytvořen dětský koutek / skupina ve školních prostorech.</w:t>
            </w:r>
          </w:p>
        </w:tc>
        <w:tc>
          <w:tcPr>
            <w:tcW w:w="1831" w:type="dxa"/>
          </w:tcPr>
          <w:p w14:paraId="0353B2E3" w14:textId="77777777" w:rsidR="00AD4861" w:rsidRDefault="00AD4861" w:rsidP="00AD4861">
            <w:pPr>
              <w:rPr>
                <w:sz w:val="20"/>
              </w:rPr>
            </w:pPr>
          </w:p>
          <w:p w14:paraId="3D02653D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Pracující</w:t>
            </w:r>
          </w:p>
          <w:p w14:paraId="1FF2A689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Studující</w:t>
            </w:r>
          </w:p>
          <w:p w14:paraId="3AEBAA4A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1972" w:type="dxa"/>
          </w:tcPr>
          <w:p w14:paraId="7DF0AE86" w14:textId="77777777" w:rsidR="00AD4861" w:rsidRDefault="00AD4861" w:rsidP="00AD4861">
            <w:pPr>
              <w:rPr>
                <w:sz w:val="20"/>
              </w:rPr>
            </w:pPr>
          </w:p>
          <w:p w14:paraId="15643C20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Prosinec 2025</w:t>
            </w:r>
          </w:p>
        </w:tc>
        <w:tc>
          <w:tcPr>
            <w:tcW w:w="628" w:type="dxa"/>
          </w:tcPr>
          <w:p w14:paraId="41634B67" w14:textId="77777777" w:rsidR="00AD4861" w:rsidRDefault="00AD4861" w:rsidP="00AD4861">
            <w:pPr>
              <w:rPr>
                <w:sz w:val="20"/>
              </w:rPr>
            </w:pPr>
          </w:p>
          <w:p w14:paraId="1950759A" w14:textId="5145082C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Pracovník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/pracovnice pověřený</w:t>
            </w:r>
            <w:r>
              <w:rPr>
                <w:sz w:val="20"/>
              </w:rPr>
              <w:t>/á</w:t>
            </w:r>
            <w:r w:rsidRPr="00F95EA3">
              <w:rPr>
                <w:sz w:val="20"/>
              </w:rPr>
              <w:t xml:space="preserve"> vytvo</w:t>
            </w:r>
            <w:r>
              <w:rPr>
                <w:sz w:val="20"/>
              </w:rPr>
              <w:t>řením dětského koutku / skupiny; vedení</w:t>
            </w:r>
          </w:p>
        </w:tc>
        <w:tc>
          <w:tcPr>
            <w:tcW w:w="4342" w:type="dxa"/>
          </w:tcPr>
          <w:p w14:paraId="782D784F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14FD01D9" w14:textId="4C6F0A3D" w:rsidR="00054AB9" w:rsidRDefault="00282BFB" w:rsidP="00054AB9">
            <w:pPr>
              <w:rPr>
                <w:color w:val="ED7D31" w:themeColor="accen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2"/>
              </w:rPr>
              <w:t xml:space="preserve">UMPRUM s vytvořením prostoru pro dětskou skupinu počítá, </w:t>
            </w:r>
            <w:r w:rsidRPr="00C82FC2">
              <w:rPr>
                <w:rFonts w:asciiTheme="minorHAnsi" w:eastAsia="Arial" w:hAnsiTheme="minorHAnsi" w:cstheme="minorHAnsi"/>
                <w:color w:val="auto"/>
                <w:sz w:val="20"/>
                <w:szCs w:val="22"/>
              </w:rPr>
              <w:t>aktuálně hledá možnosti financování rekonstrukce a kapacity pro úpravu vytipovaných prostor v budově Mikulandská.</w:t>
            </w:r>
            <w:r>
              <w:rPr>
                <w:rFonts w:asciiTheme="minorHAnsi" w:eastAsia="Arial" w:hAnsiTheme="minorHAnsi" w:cstheme="minorHAnsi"/>
                <w:color w:val="auto"/>
                <w:sz w:val="20"/>
                <w:szCs w:val="22"/>
              </w:rPr>
              <w:t xml:space="preserve"> Již existují architektonické studie. Vzhledem k tomu, že budova na Jana Palacha se z důvodu rekonstrukce bude muset s celým provozem přestěhovat, tak není v tuto chvíli jisté, zda a kdy k vytvoření prostoru dojde. </w:t>
            </w:r>
          </w:p>
          <w:p w14:paraId="307A8862" w14:textId="77777777" w:rsidR="00151A94" w:rsidRDefault="00151A94" w:rsidP="00054AB9">
            <w:pPr>
              <w:rPr>
                <w:color w:val="ED7D31" w:themeColor="accent2"/>
                <w:sz w:val="20"/>
                <w:szCs w:val="20"/>
              </w:rPr>
            </w:pPr>
          </w:p>
          <w:p w14:paraId="2BE1340F" w14:textId="77777777" w:rsidR="00282BFB" w:rsidRDefault="00282BFB" w:rsidP="00054AB9">
            <w:pPr>
              <w:rPr>
                <w:color w:val="ED7D31" w:themeColor="accent2"/>
                <w:sz w:val="20"/>
                <w:szCs w:val="20"/>
              </w:rPr>
            </w:pPr>
          </w:p>
          <w:p w14:paraId="2CFC1A09" w14:textId="77777777" w:rsidR="00282BFB" w:rsidRDefault="00282BFB" w:rsidP="00054AB9">
            <w:pPr>
              <w:rPr>
                <w:color w:val="ED7D31" w:themeColor="accent2"/>
                <w:sz w:val="20"/>
                <w:szCs w:val="20"/>
              </w:rPr>
            </w:pPr>
          </w:p>
          <w:p w14:paraId="09FFE2FE" w14:textId="77777777" w:rsidR="00151A94" w:rsidRDefault="00151A94" w:rsidP="00054AB9">
            <w:pPr>
              <w:rPr>
                <w:color w:val="ED7D31" w:themeColor="accent2"/>
                <w:sz w:val="20"/>
                <w:szCs w:val="20"/>
              </w:rPr>
            </w:pPr>
          </w:p>
          <w:p w14:paraId="67B93BA2" w14:textId="77777777" w:rsidR="00151A94" w:rsidRDefault="00151A94" w:rsidP="00054AB9">
            <w:pPr>
              <w:rPr>
                <w:color w:val="ED7D31" w:themeColor="accent2"/>
                <w:sz w:val="20"/>
                <w:szCs w:val="20"/>
              </w:rPr>
            </w:pPr>
          </w:p>
          <w:p w14:paraId="363627DA" w14:textId="77777777" w:rsidR="00151A94" w:rsidRDefault="00151A94" w:rsidP="00054AB9">
            <w:pPr>
              <w:rPr>
                <w:color w:val="ED7D31" w:themeColor="accent2"/>
                <w:sz w:val="20"/>
                <w:szCs w:val="20"/>
              </w:rPr>
            </w:pPr>
          </w:p>
          <w:p w14:paraId="6200EB4B" w14:textId="77777777" w:rsidR="00151A94" w:rsidRDefault="00151A94" w:rsidP="00054AB9">
            <w:pPr>
              <w:rPr>
                <w:color w:val="ED7D31" w:themeColor="accent2"/>
                <w:sz w:val="20"/>
                <w:szCs w:val="20"/>
              </w:rPr>
            </w:pPr>
          </w:p>
          <w:p w14:paraId="3EBC5DDA" w14:textId="242405BE" w:rsidR="00EF5E78" w:rsidRPr="00054AB9" w:rsidRDefault="00EF5E78" w:rsidP="00054AB9">
            <w:pPr>
              <w:rPr>
                <w:color w:val="ED7D31" w:themeColor="accent2"/>
                <w:sz w:val="20"/>
                <w:szCs w:val="20"/>
              </w:rPr>
            </w:pPr>
          </w:p>
        </w:tc>
      </w:tr>
    </w:tbl>
    <w:p w14:paraId="0D3D704D" w14:textId="0D103C7A" w:rsidR="00054AB9" w:rsidRDefault="00054AB9" w:rsidP="003340B3">
      <w:pPr>
        <w:rPr>
          <w:b/>
          <w:color w:val="3333CC"/>
          <w:sz w:val="24"/>
        </w:rPr>
      </w:pPr>
    </w:p>
    <w:p w14:paraId="42ECC373" w14:textId="77777777" w:rsidR="00054AB9" w:rsidRDefault="00054AB9" w:rsidP="003340B3">
      <w:pPr>
        <w:rPr>
          <w:b/>
          <w:color w:val="3333CC"/>
          <w:sz w:val="24"/>
        </w:rPr>
      </w:pPr>
    </w:p>
    <w:p w14:paraId="6510D71A" w14:textId="77777777" w:rsidR="005A22D3" w:rsidRDefault="005A22D3" w:rsidP="003340B3">
      <w:pPr>
        <w:rPr>
          <w:b/>
          <w:color w:val="3333CC"/>
          <w:sz w:val="24"/>
        </w:rPr>
      </w:pPr>
    </w:p>
    <w:p w14:paraId="5DDDA987" w14:textId="77777777" w:rsidR="00EF5E78" w:rsidRDefault="00EF5E78" w:rsidP="00EF5E78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lastRenderedPageBreak/>
        <w:t xml:space="preserve">2. </w:t>
      </w:r>
      <w:r>
        <w:rPr>
          <w:b/>
          <w:color w:val="3333CC"/>
          <w:sz w:val="24"/>
        </w:rPr>
        <w:t xml:space="preserve">STRATEGICKÝ CÍL: </w:t>
      </w:r>
      <w:r w:rsidRPr="003A20E9">
        <w:rPr>
          <w:b/>
          <w:color w:val="3333CC"/>
          <w:sz w:val="24"/>
        </w:rPr>
        <w:t>GENDEROVÁ ROVNOST PŘI NÁBORU A KARIÉRNÍM POSTUPU</w:t>
      </w:r>
    </w:p>
    <w:p w14:paraId="6262F52F" w14:textId="77777777" w:rsidR="00054AB9" w:rsidRDefault="00054AB9" w:rsidP="003340B3">
      <w:pPr>
        <w:rPr>
          <w:b/>
          <w:color w:val="3333CC"/>
          <w:sz w:val="24"/>
        </w:rPr>
      </w:pPr>
    </w:p>
    <w:p w14:paraId="1A1DCCC0" w14:textId="77777777" w:rsidR="00D71BAB" w:rsidRDefault="00D71BAB" w:rsidP="008F7B1B"/>
    <w:tbl>
      <w:tblPr>
        <w:tblStyle w:val="Mkatabulky"/>
        <w:tblpPr w:leftFromText="141" w:rightFromText="141" w:vertAnchor="page" w:horzAnchor="margin" w:tblpXSpec="center" w:tblpY="2029"/>
        <w:tblW w:w="15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2136"/>
        <w:gridCol w:w="2866"/>
        <w:gridCol w:w="1631"/>
        <w:gridCol w:w="1559"/>
        <w:gridCol w:w="1701"/>
        <w:gridCol w:w="3284"/>
      </w:tblGrid>
      <w:tr w:rsidR="00AD4861" w14:paraId="65FABCCA" w14:textId="77777777" w:rsidTr="00EF5E78">
        <w:trPr>
          <w:trHeight w:val="674"/>
        </w:trPr>
        <w:tc>
          <w:tcPr>
            <w:tcW w:w="2288" w:type="dxa"/>
            <w:shd w:val="clear" w:color="auto" w:fill="FFFFFF" w:themeFill="background1"/>
          </w:tcPr>
          <w:p w14:paraId="32A9B1A7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3311208C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136" w:type="dxa"/>
            <w:shd w:val="clear" w:color="auto" w:fill="FFFFFF" w:themeFill="background1"/>
          </w:tcPr>
          <w:p w14:paraId="331A5C46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1552B2DD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86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A47C10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613838FE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631" w:type="dxa"/>
            <w:shd w:val="clear" w:color="auto" w:fill="FFFFFF" w:themeFill="background1"/>
          </w:tcPr>
          <w:p w14:paraId="44EF578B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2CFE3F3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559" w:type="dxa"/>
            <w:shd w:val="clear" w:color="auto" w:fill="FFFFFF" w:themeFill="background1"/>
          </w:tcPr>
          <w:p w14:paraId="30CC2B60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23A8C82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701" w:type="dxa"/>
            <w:shd w:val="clear" w:color="auto" w:fill="FFFFFF" w:themeFill="background1"/>
          </w:tcPr>
          <w:p w14:paraId="1D138EE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125E351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3284" w:type="dxa"/>
            <w:shd w:val="clear" w:color="auto" w:fill="FFFFFF" w:themeFill="background1"/>
          </w:tcPr>
          <w:p w14:paraId="54EABA95" w14:textId="77777777" w:rsidR="00AD4861" w:rsidRDefault="00AD4861" w:rsidP="00AD4861">
            <w:pPr>
              <w:rPr>
                <w:b/>
                <w:color w:val="3333CC"/>
                <w:sz w:val="20"/>
              </w:rPr>
            </w:pPr>
          </w:p>
          <w:p w14:paraId="4327B941" w14:textId="0668AE6F" w:rsidR="00AD4861" w:rsidRPr="003A20E9" w:rsidRDefault="007734E4" w:rsidP="00054AB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857D93">
              <w:rPr>
                <w:b/>
                <w:color w:val="3333CC"/>
                <w:sz w:val="20"/>
              </w:rPr>
              <w:t>4</w:t>
            </w:r>
          </w:p>
        </w:tc>
      </w:tr>
      <w:tr w:rsidR="00AD4861" w14:paraId="42FB6425" w14:textId="77777777" w:rsidTr="00EF5E78">
        <w:trPr>
          <w:trHeight w:val="2479"/>
        </w:trPr>
        <w:tc>
          <w:tcPr>
            <w:tcW w:w="2288" w:type="dxa"/>
          </w:tcPr>
          <w:p w14:paraId="5F298AD7" w14:textId="77777777" w:rsidR="00AD4861" w:rsidRDefault="00AD4861" w:rsidP="00AD4861">
            <w:pPr>
              <w:rPr>
                <w:b/>
                <w:sz w:val="20"/>
              </w:rPr>
            </w:pPr>
          </w:p>
          <w:p w14:paraId="57C044CD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B.2 </w:t>
            </w:r>
          </w:p>
          <w:p w14:paraId="061C5F7E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Je zajištěn monitoring rozložení žen a mužů na UMPRUM.</w:t>
            </w:r>
          </w:p>
        </w:tc>
        <w:tc>
          <w:tcPr>
            <w:tcW w:w="2136" w:type="dxa"/>
          </w:tcPr>
          <w:p w14:paraId="09881149" w14:textId="77777777" w:rsidR="00AD4861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440BCCF3" w14:textId="38B34080" w:rsidR="00AD4861" w:rsidRPr="00CA6209" w:rsidRDefault="00AD4861" w:rsidP="00054AB9">
            <w:pPr>
              <w:rPr>
                <w:sz w:val="20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 xml:space="preserve">Vést statistiky zastoupení žen a mužů na jednotlivých pozicích. </w:t>
            </w:r>
          </w:p>
        </w:tc>
        <w:tc>
          <w:tcPr>
            <w:tcW w:w="2866" w:type="dxa"/>
            <w:tcBorders>
              <w:top w:val="single" w:sz="8" w:space="0" w:color="auto"/>
              <w:bottom w:val="single" w:sz="6" w:space="0" w:color="auto"/>
            </w:tcBorders>
          </w:tcPr>
          <w:p w14:paraId="13C25F4C" w14:textId="77777777" w:rsidR="00AD4861" w:rsidRDefault="00AD4861" w:rsidP="00AD4861">
            <w:pPr>
              <w:rPr>
                <w:i/>
                <w:sz w:val="20"/>
              </w:rPr>
            </w:pPr>
          </w:p>
          <w:p w14:paraId="22CE91FF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Vypracování roční statistiky zastoupení žen a mužů na UMPRUM. Zohledněna bude velikost úvazku a možný výpadek např. při mateřské dovolené / rodičovské dovolené.</w:t>
            </w:r>
          </w:p>
          <w:p w14:paraId="69C39DA1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Statistiky se týkají všech pracujících a studujících.</w:t>
            </w:r>
          </w:p>
        </w:tc>
        <w:tc>
          <w:tcPr>
            <w:tcW w:w="1631" w:type="dxa"/>
          </w:tcPr>
          <w:p w14:paraId="108319F5" w14:textId="77777777" w:rsidR="00AD4861" w:rsidRDefault="00AD4861" w:rsidP="00AD4861">
            <w:pPr>
              <w:rPr>
                <w:sz w:val="20"/>
              </w:rPr>
            </w:pPr>
          </w:p>
          <w:p w14:paraId="10879822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3CE418CF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  <w:p w14:paraId="1598897B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17DEE3B7" w14:textId="77777777" w:rsidR="00AD4861" w:rsidRDefault="00AD4861" w:rsidP="00AD4861">
            <w:pPr>
              <w:rPr>
                <w:sz w:val="20"/>
              </w:rPr>
            </w:pPr>
          </w:p>
          <w:p w14:paraId="5CD2A784" w14:textId="77777777" w:rsidR="00AD4861" w:rsidRDefault="00AD4861" w:rsidP="00AD4861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18714A19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</w:t>
            </w:r>
            <w:r>
              <w:rPr>
                <w:sz w:val="20"/>
              </w:rPr>
              <w:t>růběžně</w:t>
            </w:r>
          </w:p>
        </w:tc>
        <w:tc>
          <w:tcPr>
            <w:tcW w:w="1701" w:type="dxa"/>
          </w:tcPr>
          <w:p w14:paraId="4D345E13" w14:textId="77777777" w:rsidR="00AD4861" w:rsidRDefault="00AD4861" w:rsidP="00AD4861">
            <w:pPr>
              <w:rPr>
                <w:sz w:val="20"/>
              </w:rPr>
            </w:pPr>
          </w:p>
          <w:p w14:paraId="6D09D332" w14:textId="794CFD78" w:rsidR="00AD4861" w:rsidRPr="00CA6209" w:rsidRDefault="003340B3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>
              <w:rPr>
                <w:sz w:val="20"/>
              </w:rPr>
              <w:t>studium a tvůrčí činnost</w:t>
            </w:r>
          </w:p>
        </w:tc>
        <w:tc>
          <w:tcPr>
            <w:tcW w:w="3284" w:type="dxa"/>
          </w:tcPr>
          <w:p w14:paraId="37AF4B2A" w14:textId="77777777" w:rsidR="00B92AC3" w:rsidRDefault="00B92AC3" w:rsidP="00AD4861">
            <w:pPr>
              <w:rPr>
                <w:color w:val="auto"/>
                <w:sz w:val="20"/>
                <w:szCs w:val="20"/>
              </w:rPr>
            </w:pPr>
          </w:p>
          <w:p w14:paraId="2CF80C44" w14:textId="3660F582" w:rsidR="00AD4861" w:rsidRDefault="00B92AC3" w:rsidP="00AD4861">
            <w:pPr>
              <w:rPr>
                <w:sz w:val="20"/>
              </w:rPr>
            </w:pPr>
            <w:r>
              <w:rPr>
                <w:color w:val="auto"/>
                <w:sz w:val="20"/>
                <w:szCs w:val="20"/>
              </w:rPr>
              <w:t xml:space="preserve">I nadále jsou </w:t>
            </w:r>
            <w:r w:rsidRPr="00B9553B">
              <w:rPr>
                <w:color w:val="auto"/>
                <w:sz w:val="20"/>
                <w:szCs w:val="20"/>
              </w:rPr>
              <w:t>sledovány průběžně</w:t>
            </w:r>
            <w:r>
              <w:rPr>
                <w:color w:val="auto"/>
                <w:sz w:val="20"/>
                <w:szCs w:val="20"/>
              </w:rPr>
              <w:t xml:space="preserve"> statistiky</w:t>
            </w:r>
            <w:r w:rsidRPr="00B9553B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>jako v předchozích letech</w:t>
            </w:r>
            <w:r w:rsidRPr="00B9553B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Téma je zároveň otevíráno před výběrovými řízeními</w:t>
            </w:r>
            <w:r w:rsidR="00282BFB">
              <w:rPr>
                <w:color w:val="auto"/>
                <w:sz w:val="20"/>
                <w:szCs w:val="20"/>
              </w:rPr>
              <w:t>.</w:t>
            </w:r>
          </w:p>
        </w:tc>
      </w:tr>
      <w:tr w:rsidR="00AD4861" w14:paraId="23000AAA" w14:textId="77777777" w:rsidTr="00EF5E78">
        <w:trPr>
          <w:trHeight w:val="2087"/>
        </w:trPr>
        <w:tc>
          <w:tcPr>
            <w:tcW w:w="2288" w:type="dxa"/>
          </w:tcPr>
          <w:p w14:paraId="413DB84E" w14:textId="77777777" w:rsidR="00AD4861" w:rsidRDefault="00AD4861" w:rsidP="00AD4861">
            <w:pPr>
              <w:rPr>
                <w:b/>
                <w:sz w:val="20"/>
              </w:rPr>
            </w:pPr>
          </w:p>
          <w:p w14:paraId="77D47282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B.3 </w:t>
            </w:r>
          </w:p>
          <w:p w14:paraId="2C39CDD4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Je zajištěn monitoring aktivity zaměstnanců na UMPRUM.</w:t>
            </w:r>
          </w:p>
        </w:tc>
        <w:tc>
          <w:tcPr>
            <w:tcW w:w="2136" w:type="dxa"/>
          </w:tcPr>
          <w:p w14:paraId="409A075F" w14:textId="77777777" w:rsidR="00AD4861" w:rsidRDefault="00AD4861" w:rsidP="00AD4861">
            <w:pPr>
              <w:rPr>
                <w:sz w:val="20"/>
              </w:rPr>
            </w:pPr>
          </w:p>
          <w:p w14:paraId="70199AAE" w14:textId="77777777" w:rsidR="00AD4861" w:rsidRPr="00CA6209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sz w:val="20"/>
              </w:rPr>
              <w:t>Vést statistiku o činnostech nad rámec úvazku.</w:t>
            </w:r>
          </w:p>
        </w:tc>
        <w:tc>
          <w:tcPr>
            <w:tcW w:w="2866" w:type="dxa"/>
            <w:tcBorders>
              <w:top w:val="single" w:sz="6" w:space="0" w:color="auto"/>
              <w:bottom w:val="single" w:sz="6" w:space="0" w:color="auto"/>
            </w:tcBorders>
          </w:tcPr>
          <w:p w14:paraId="214FF6E1" w14:textId="77777777" w:rsidR="00AD4861" w:rsidRDefault="00AD4861" w:rsidP="00AD4861">
            <w:pPr>
              <w:rPr>
                <w:i/>
                <w:sz w:val="20"/>
              </w:rPr>
            </w:pPr>
          </w:p>
          <w:p w14:paraId="13BEDE59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 xml:space="preserve">Vypracování roční statistiky aktivit pracujících nad rámec pracovního úvazku, např. zapojení v projektech, CRP SGS, AGS, aktivita v AS, UR, SR apod. </w:t>
            </w:r>
          </w:p>
        </w:tc>
        <w:tc>
          <w:tcPr>
            <w:tcW w:w="1631" w:type="dxa"/>
          </w:tcPr>
          <w:p w14:paraId="1C64B02F" w14:textId="77777777" w:rsidR="00AD4861" w:rsidRDefault="00AD4861" w:rsidP="00AD4861">
            <w:pPr>
              <w:rPr>
                <w:sz w:val="20"/>
              </w:rPr>
            </w:pPr>
          </w:p>
          <w:p w14:paraId="5DC7C939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547F7AD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  <w:p w14:paraId="3998F3A8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BC8548A" w14:textId="77777777" w:rsidR="00AD4861" w:rsidRDefault="00AD4861" w:rsidP="00AD4861">
            <w:pPr>
              <w:rPr>
                <w:sz w:val="20"/>
              </w:rPr>
            </w:pPr>
          </w:p>
          <w:p w14:paraId="0F600A2D" w14:textId="77777777" w:rsidR="00AD4861" w:rsidRDefault="00AD4861" w:rsidP="00AD4861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7273243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</w:t>
            </w:r>
            <w:r>
              <w:rPr>
                <w:sz w:val="20"/>
              </w:rPr>
              <w:t>růběžně</w:t>
            </w:r>
          </w:p>
        </w:tc>
        <w:tc>
          <w:tcPr>
            <w:tcW w:w="1701" w:type="dxa"/>
          </w:tcPr>
          <w:p w14:paraId="4641DB00" w14:textId="77777777" w:rsidR="00AD4861" w:rsidRDefault="00AD4861" w:rsidP="00AD4861">
            <w:pPr>
              <w:rPr>
                <w:sz w:val="20"/>
              </w:rPr>
            </w:pPr>
          </w:p>
          <w:p w14:paraId="677B7AAB" w14:textId="39A1667C" w:rsidR="00AD4861" w:rsidRPr="00CA6209" w:rsidRDefault="00AD4861" w:rsidP="003340B3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 w:rsidR="003340B3">
              <w:rPr>
                <w:sz w:val="20"/>
              </w:rPr>
              <w:t>studium a tvůrčí činnost</w:t>
            </w:r>
          </w:p>
        </w:tc>
        <w:tc>
          <w:tcPr>
            <w:tcW w:w="3284" w:type="dxa"/>
          </w:tcPr>
          <w:p w14:paraId="6C92B9C2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071DF300" w14:textId="2AF082D2" w:rsidR="00C82FC2" w:rsidRPr="00C82FC2" w:rsidRDefault="00B92AC3" w:rsidP="00AD486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nadále</w:t>
            </w:r>
            <w:r w:rsidR="0072164B" w:rsidRPr="0072164B">
              <w:rPr>
                <w:color w:val="auto"/>
                <w:sz w:val="20"/>
                <w:szCs w:val="20"/>
              </w:rPr>
              <w:t xml:space="preserve"> jsou</w:t>
            </w:r>
            <w:r w:rsidR="00054AB9" w:rsidRPr="0072164B">
              <w:rPr>
                <w:color w:val="auto"/>
                <w:sz w:val="20"/>
                <w:szCs w:val="20"/>
              </w:rPr>
              <w:t xml:space="preserve"> vedeny průběžné evidence a aktivity nad rámec úvazku jsou zohledňovány v odměnách.</w:t>
            </w:r>
            <w:r w:rsidR="00C82FC2">
              <w:rPr>
                <w:color w:val="auto"/>
                <w:sz w:val="20"/>
                <w:szCs w:val="20"/>
              </w:rPr>
              <w:t xml:space="preserve"> Je vydána směrnice rektora č.15/2024 o odměnách konaných za práci mimo pracovní poměr.</w:t>
            </w:r>
          </w:p>
        </w:tc>
      </w:tr>
      <w:tr w:rsidR="00AD4861" w14:paraId="70E25D4E" w14:textId="77777777" w:rsidTr="00EF5E78">
        <w:trPr>
          <w:trHeight w:val="2261"/>
        </w:trPr>
        <w:tc>
          <w:tcPr>
            <w:tcW w:w="2288" w:type="dxa"/>
          </w:tcPr>
          <w:p w14:paraId="53A5D00F" w14:textId="77777777" w:rsidR="00AD4861" w:rsidRDefault="00AD4861" w:rsidP="00AD4861">
            <w:pPr>
              <w:rPr>
                <w:b/>
                <w:sz w:val="20"/>
              </w:rPr>
            </w:pPr>
          </w:p>
          <w:p w14:paraId="1B2BA10C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B.5 </w:t>
            </w:r>
          </w:p>
          <w:p w14:paraId="73CE1BC7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Transparentní odměňování žen a mužů zajištěno.</w:t>
            </w:r>
          </w:p>
          <w:p w14:paraId="450C9A01" w14:textId="77777777" w:rsidR="00AD4861" w:rsidRPr="00CA6209" w:rsidRDefault="00AD4861" w:rsidP="00AD4861">
            <w:pPr>
              <w:rPr>
                <w:b/>
                <w:sz w:val="20"/>
              </w:rPr>
            </w:pPr>
          </w:p>
        </w:tc>
        <w:tc>
          <w:tcPr>
            <w:tcW w:w="2136" w:type="dxa"/>
          </w:tcPr>
          <w:p w14:paraId="0F7CE3D2" w14:textId="77777777" w:rsidR="00AD4861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453C9F65" w14:textId="77777777" w:rsidR="00AD4861" w:rsidRPr="00CA6209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Zprůhlednit odměňování pracujících, přidat slovní popis, za co je odměna vyplácena.</w:t>
            </w:r>
          </w:p>
        </w:tc>
        <w:tc>
          <w:tcPr>
            <w:tcW w:w="2866" w:type="dxa"/>
            <w:tcBorders>
              <w:top w:val="single" w:sz="6" w:space="0" w:color="auto"/>
            </w:tcBorders>
          </w:tcPr>
          <w:p w14:paraId="41BBB0B2" w14:textId="77777777" w:rsidR="00AD4861" w:rsidRDefault="00AD4861" w:rsidP="00AD4861">
            <w:pPr>
              <w:rPr>
                <w:sz w:val="20"/>
              </w:rPr>
            </w:pPr>
          </w:p>
          <w:p w14:paraId="58766FAF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Úprava formulářů pro přiznávání mimořádných odměn. Komunikace vedoucích pracovníků / pracovnic s podřízenými v otázce odměňování.</w:t>
            </w:r>
          </w:p>
        </w:tc>
        <w:tc>
          <w:tcPr>
            <w:tcW w:w="1631" w:type="dxa"/>
          </w:tcPr>
          <w:p w14:paraId="52A7704E" w14:textId="77777777" w:rsidR="00AD4861" w:rsidRDefault="00AD4861" w:rsidP="00AD4861">
            <w:pPr>
              <w:rPr>
                <w:sz w:val="20"/>
              </w:rPr>
            </w:pPr>
          </w:p>
          <w:p w14:paraId="7C8C311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2944D1AB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02C6683" w14:textId="77777777" w:rsidR="00AD4861" w:rsidRDefault="00AD4861" w:rsidP="00AD4861">
            <w:pPr>
              <w:rPr>
                <w:sz w:val="20"/>
              </w:rPr>
            </w:pPr>
          </w:p>
          <w:p w14:paraId="52657DD0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701" w:type="dxa"/>
          </w:tcPr>
          <w:p w14:paraId="1A9886AE" w14:textId="77777777" w:rsidR="00AD4861" w:rsidRDefault="00AD4861" w:rsidP="00AD4861">
            <w:pPr>
              <w:rPr>
                <w:sz w:val="20"/>
              </w:rPr>
            </w:pPr>
          </w:p>
          <w:p w14:paraId="68738D30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Kvestor/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3284" w:type="dxa"/>
          </w:tcPr>
          <w:p w14:paraId="745E892D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33FC4B52" w14:textId="1E8A043B" w:rsidR="00054AB9" w:rsidRPr="00054AB9" w:rsidRDefault="00054AB9" w:rsidP="00AD4861">
            <w:pPr>
              <w:rPr>
                <w:color w:val="ED7D31" w:themeColor="accent2"/>
                <w:sz w:val="20"/>
                <w:szCs w:val="20"/>
              </w:rPr>
            </w:pPr>
            <w:r w:rsidRPr="00B92AC3">
              <w:rPr>
                <w:rFonts w:eastAsia="Roboto" w:cs="Roboto"/>
                <w:color w:val="auto"/>
                <w:sz w:val="20"/>
                <w:szCs w:val="20"/>
                <w:highlight w:val="white"/>
              </w:rPr>
              <w:t>Formuláře byly adekvátně upraveny. Na podnět kvestora bylo opatření rozšířeno a aplikováno rovněž na studující v rámci přiznávání mimořádných stipendií.</w:t>
            </w:r>
          </w:p>
        </w:tc>
      </w:tr>
    </w:tbl>
    <w:p w14:paraId="255D79D3" w14:textId="68BCEBA4" w:rsidR="008F7B1B" w:rsidRPr="003A20E9" w:rsidRDefault="003A20E9" w:rsidP="008F7B1B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lastRenderedPageBreak/>
        <w:t>3. STRATEGICKÝ CÍL: GENDEROVÁ ROVNOVÁHA VE VEDOUCÍCH POZICÍCH</w:t>
      </w:r>
    </w:p>
    <w:p w14:paraId="2ABC6A04" w14:textId="77777777" w:rsidR="003A20E9" w:rsidRDefault="003A20E9" w:rsidP="008F7B1B"/>
    <w:tbl>
      <w:tblPr>
        <w:tblStyle w:val="Mkatabulky"/>
        <w:tblW w:w="15309" w:type="dxa"/>
        <w:tblInd w:w="-575" w:type="dxa"/>
        <w:tblLook w:val="04A0" w:firstRow="1" w:lastRow="0" w:firstColumn="1" w:lastColumn="0" w:noHBand="0" w:noVBand="1"/>
      </w:tblPr>
      <w:tblGrid>
        <w:gridCol w:w="2049"/>
        <w:gridCol w:w="2280"/>
        <w:gridCol w:w="2266"/>
        <w:gridCol w:w="1495"/>
        <w:gridCol w:w="1033"/>
        <w:gridCol w:w="1949"/>
        <w:gridCol w:w="4237"/>
      </w:tblGrid>
      <w:tr w:rsidR="00AD4861" w14:paraId="7BFAA30E" w14:textId="26D5494F" w:rsidTr="00EF5E78">
        <w:trPr>
          <w:trHeight w:val="671"/>
        </w:trPr>
        <w:tc>
          <w:tcPr>
            <w:tcW w:w="208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3937DA6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E289ED7" w14:textId="3C751AD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18A47D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27628EF3" w14:textId="68DD6FD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E07A4DC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0B12C909" w14:textId="1E3262DE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406E8F6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776D0DF7" w14:textId="4CB4ED7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BAA939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AB7200E" w14:textId="0429338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1E48856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06B57FF6" w14:textId="6F334E1C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A9532D6" w14:textId="77777777" w:rsidR="00AD4861" w:rsidRDefault="00AD4861" w:rsidP="00D451C9">
            <w:pPr>
              <w:rPr>
                <w:b/>
                <w:color w:val="3333CC"/>
                <w:sz w:val="20"/>
              </w:rPr>
            </w:pPr>
          </w:p>
          <w:p w14:paraId="5F6A1402" w14:textId="71B92D69" w:rsidR="00AD4861" w:rsidRPr="003A20E9" w:rsidRDefault="007734E4" w:rsidP="00054AB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857D93">
              <w:rPr>
                <w:b/>
                <w:color w:val="3333CC"/>
                <w:sz w:val="20"/>
              </w:rPr>
              <w:t>4</w:t>
            </w:r>
          </w:p>
        </w:tc>
      </w:tr>
      <w:tr w:rsidR="00AD4861" w14:paraId="416CA3DE" w14:textId="038E6AAF" w:rsidTr="00EF5E78">
        <w:trPr>
          <w:trHeight w:val="1917"/>
        </w:trPr>
        <w:tc>
          <w:tcPr>
            <w:tcW w:w="2083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</w:tcPr>
          <w:p w14:paraId="4337B82B" w14:textId="77777777" w:rsidR="00AD4861" w:rsidRDefault="00AD4861" w:rsidP="00D451C9">
            <w:pPr>
              <w:rPr>
                <w:b/>
                <w:sz w:val="20"/>
              </w:rPr>
            </w:pPr>
          </w:p>
          <w:p w14:paraId="594E541C" w14:textId="31591E59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C.1.</w:t>
            </w:r>
          </w:p>
          <w:p w14:paraId="2CFD921C" w14:textId="77777777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Nábor nových zaměstnanců a zaměstnankyň zohledňuje principy rovnosti mužů a žen.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167" w14:textId="77777777" w:rsidR="00AD4861" w:rsidRDefault="00AD4861" w:rsidP="001B24D3">
            <w:pPr>
              <w:rPr>
                <w:sz w:val="20"/>
              </w:rPr>
            </w:pPr>
          </w:p>
          <w:p w14:paraId="16DB1125" w14:textId="063D6149" w:rsidR="00AD4861" w:rsidRPr="00CA6209" w:rsidRDefault="00AD4861" w:rsidP="001B24D3">
            <w:pPr>
              <w:rPr>
                <w:sz w:val="20"/>
              </w:rPr>
            </w:pPr>
            <w:r w:rsidRPr="00CA6209">
              <w:rPr>
                <w:sz w:val="20"/>
              </w:rPr>
              <w:t>Motivovat ženy, aby se hlásily na vedoucí pozice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9183252" w14:textId="77777777" w:rsidR="00AD4861" w:rsidRDefault="00AD4861" w:rsidP="00D451C9">
            <w:pPr>
              <w:rPr>
                <w:i/>
                <w:sz w:val="20"/>
              </w:rPr>
            </w:pPr>
          </w:p>
          <w:p w14:paraId="6D2D6B2A" w14:textId="6453ACC7" w:rsidR="00AD4861" w:rsidRPr="00CA6209" w:rsidRDefault="00AD4861" w:rsidP="00D451C9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Vznikne vzor textu výběrového řízení (vyzdvihnutí flexibility, ohled na rodiče, rovné příležitosti apod.)</w:t>
            </w:r>
          </w:p>
        </w:tc>
        <w:tc>
          <w:tcPr>
            <w:tcW w:w="1521" w:type="dxa"/>
            <w:tcBorders>
              <w:top w:val="single" w:sz="8" w:space="0" w:color="auto"/>
              <w:bottom w:val="single" w:sz="4" w:space="0" w:color="auto"/>
            </w:tcBorders>
          </w:tcPr>
          <w:p w14:paraId="4751964F" w14:textId="77777777" w:rsidR="00AD4861" w:rsidRDefault="00AD4861" w:rsidP="00D451C9">
            <w:pPr>
              <w:rPr>
                <w:sz w:val="20"/>
              </w:rPr>
            </w:pPr>
          </w:p>
          <w:p w14:paraId="665A949D" w14:textId="1D6F064E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Veřejnost</w:t>
            </w:r>
          </w:p>
          <w:p w14:paraId="5F6B3828" w14:textId="4C9C863A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8" w:space="0" w:color="auto"/>
              <w:bottom w:val="single" w:sz="4" w:space="0" w:color="auto"/>
            </w:tcBorders>
          </w:tcPr>
          <w:p w14:paraId="1AFF7058" w14:textId="77777777" w:rsidR="00AD4861" w:rsidRDefault="00AD4861" w:rsidP="00D451C9">
            <w:pPr>
              <w:rPr>
                <w:sz w:val="20"/>
              </w:rPr>
            </w:pPr>
          </w:p>
          <w:p w14:paraId="02752957" w14:textId="7F131AFE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986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78FE85B1" w14:textId="77777777" w:rsidR="00AD4861" w:rsidRDefault="00AD4861" w:rsidP="00D451C9">
            <w:pPr>
              <w:rPr>
                <w:sz w:val="20"/>
              </w:rPr>
            </w:pPr>
          </w:p>
          <w:p w14:paraId="4A15CD2A" w14:textId="323D6954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Kvestor/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4392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39C19CD7" w14:textId="77777777" w:rsidR="00AD4861" w:rsidRPr="00054AB9" w:rsidRDefault="00AD4861" w:rsidP="00D451C9">
            <w:pPr>
              <w:rPr>
                <w:color w:val="ED7D31" w:themeColor="accent2"/>
                <w:sz w:val="20"/>
                <w:szCs w:val="20"/>
              </w:rPr>
            </w:pPr>
          </w:p>
          <w:p w14:paraId="099F5E32" w14:textId="55555817" w:rsidR="00054AB9" w:rsidRPr="00054AB9" w:rsidRDefault="002E3E9A" w:rsidP="003E62D3">
            <w:pPr>
              <w:rPr>
                <w:color w:val="ED7D31" w:themeColor="accent2"/>
                <w:sz w:val="20"/>
                <w:szCs w:val="20"/>
              </w:rPr>
            </w:pPr>
            <w:r w:rsidRPr="00602421">
              <w:rPr>
                <w:color w:val="auto"/>
                <w:sz w:val="20"/>
                <w:szCs w:val="20"/>
              </w:rPr>
              <w:t xml:space="preserve">Text pro výběrová řízení se uvedl do praxe a je </w:t>
            </w:r>
            <w:r w:rsidR="00602421" w:rsidRPr="00602421">
              <w:rPr>
                <w:color w:val="auto"/>
                <w:sz w:val="20"/>
                <w:szCs w:val="20"/>
              </w:rPr>
              <w:t xml:space="preserve">stále </w:t>
            </w:r>
            <w:r w:rsidRPr="00602421">
              <w:rPr>
                <w:color w:val="auto"/>
                <w:sz w:val="20"/>
                <w:szCs w:val="20"/>
              </w:rPr>
              <w:t>využíván, stal se standardním formulářem pro ná</w:t>
            </w:r>
            <w:r w:rsidR="00602421" w:rsidRPr="00602421">
              <w:rPr>
                <w:color w:val="auto"/>
                <w:sz w:val="20"/>
                <w:szCs w:val="20"/>
              </w:rPr>
              <w:t>bor nových pracovníků a pracovnic</w:t>
            </w:r>
            <w:r w:rsidR="00054AB9" w:rsidRPr="00602421">
              <w:rPr>
                <w:rFonts w:eastAsia="Calibri" w:cs="Calibri"/>
                <w:color w:val="auto"/>
                <w:sz w:val="20"/>
                <w:szCs w:val="20"/>
              </w:rPr>
              <w:t>.</w:t>
            </w:r>
          </w:p>
        </w:tc>
      </w:tr>
      <w:tr w:rsidR="00AD4861" w14:paraId="063B8971" w14:textId="41ED547E" w:rsidTr="00EF5E78">
        <w:trPr>
          <w:trHeight w:val="1533"/>
        </w:trPr>
        <w:tc>
          <w:tcPr>
            <w:tcW w:w="20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F16E61" w14:textId="77777777" w:rsidR="00AD4861" w:rsidRPr="00CA6209" w:rsidRDefault="00AD4861" w:rsidP="0062623D">
            <w:pPr>
              <w:rPr>
                <w:b/>
                <w:sz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F80" w14:textId="77777777" w:rsidR="00AD4861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652450D5" w14:textId="2BE4DBBE" w:rsidR="00AD4861" w:rsidRPr="00CA6209" w:rsidRDefault="00AD4861" w:rsidP="006F0EEF">
            <w:pPr>
              <w:rPr>
                <w:sz w:val="20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Vést statistiky zastoupení žen a</w:t>
            </w:r>
            <w:r w:rsidR="006F0EEF">
              <w:rPr>
                <w:rFonts w:eastAsia="Times New Roman" w:cs="Calibri"/>
                <w:sz w:val="20"/>
                <w:szCs w:val="18"/>
                <w:lang w:eastAsia="cs-CZ"/>
              </w:rPr>
              <w:t xml:space="preserve"> </w:t>
            </w: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 xml:space="preserve">mužů na vedoucích pozicích.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F26A" w14:textId="77777777" w:rsidR="00AD4861" w:rsidRDefault="00AD4861" w:rsidP="0062623D">
            <w:pPr>
              <w:rPr>
                <w:i/>
                <w:sz w:val="20"/>
              </w:rPr>
            </w:pPr>
          </w:p>
          <w:p w14:paraId="3D3DF42A" w14:textId="166C892B" w:rsidR="00AD4861" w:rsidRPr="00CA6209" w:rsidRDefault="00AD4861" w:rsidP="0062623D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Vypracování roční statistiky zastoupení žen a mužů na UMPRUM ve vedoucích pozicích.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07DC56B7" w14:textId="77777777" w:rsidR="00AD4861" w:rsidRDefault="00AD4861" w:rsidP="0062623D">
            <w:pPr>
              <w:rPr>
                <w:sz w:val="20"/>
              </w:rPr>
            </w:pPr>
          </w:p>
          <w:p w14:paraId="1D55E6F7" w14:textId="097C7D37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62E67C2" w14:textId="2C1FF9C6" w:rsidR="00AD4861" w:rsidRDefault="00AD4861" w:rsidP="0062623D">
            <w:pPr>
              <w:rPr>
                <w:sz w:val="20"/>
              </w:rPr>
            </w:pPr>
          </w:p>
          <w:p w14:paraId="61BDE7E3" w14:textId="02E2CB00" w:rsidR="00AD4861" w:rsidRDefault="00AD4861" w:rsidP="0062623D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0CCCC19C" w14:textId="2E55A1D6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Průběžně.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09D31B" w14:textId="77777777" w:rsidR="00AD4861" w:rsidRDefault="00AD4861" w:rsidP="0062623D">
            <w:pPr>
              <w:rPr>
                <w:sz w:val="20"/>
              </w:rPr>
            </w:pPr>
          </w:p>
          <w:p w14:paraId="262C22B0" w14:textId="3F86B9ED" w:rsidR="00AD4861" w:rsidRPr="00CA6209" w:rsidRDefault="003340B3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>
              <w:rPr>
                <w:sz w:val="20"/>
              </w:rPr>
              <w:t>studium a tvůrčí činnost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24D65" w14:textId="77777777" w:rsidR="00AD4861" w:rsidRPr="00054AB9" w:rsidRDefault="00AD4861" w:rsidP="0062623D">
            <w:pPr>
              <w:rPr>
                <w:color w:val="ED7D31" w:themeColor="accent2"/>
                <w:sz w:val="20"/>
                <w:szCs w:val="20"/>
              </w:rPr>
            </w:pPr>
          </w:p>
          <w:p w14:paraId="48CF45AE" w14:textId="2B522B34" w:rsidR="00CF32CA" w:rsidRPr="00054AB9" w:rsidRDefault="00B92AC3" w:rsidP="0062623D">
            <w:pPr>
              <w:rPr>
                <w:color w:val="ED7D31" w:themeColor="accent2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 nadále jsou </w:t>
            </w:r>
            <w:r w:rsidR="00054AB9" w:rsidRPr="00B9553B">
              <w:rPr>
                <w:color w:val="auto"/>
                <w:sz w:val="20"/>
                <w:szCs w:val="20"/>
              </w:rPr>
              <w:t>sledovány průběžně</w:t>
            </w:r>
            <w:r>
              <w:rPr>
                <w:color w:val="auto"/>
                <w:sz w:val="20"/>
                <w:szCs w:val="20"/>
              </w:rPr>
              <w:t xml:space="preserve"> statistiky</w:t>
            </w:r>
            <w:r w:rsidR="00054AB9" w:rsidRPr="00B9553B">
              <w:rPr>
                <w:color w:val="auto"/>
                <w:sz w:val="20"/>
                <w:szCs w:val="20"/>
              </w:rPr>
              <w:t>, každý rok.</w:t>
            </w:r>
            <w:r w:rsidR="00E16A8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D4861" w14:paraId="364B48C8" w14:textId="52B1113B" w:rsidTr="00EF5E78">
        <w:trPr>
          <w:trHeight w:val="2133"/>
        </w:trPr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06B43" w14:textId="77777777" w:rsidR="00AD4861" w:rsidRDefault="00AD4861" w:rsidP="0062623D">
            <w:pPr>
              <w:rPr>
                <w:b/>
                <w:sz w:val="20"/>
              </w:rPr>
            </w:pPr>
          </w:p>
          <w:p w14:paraId="17162DB2" w14:textId="778AC26F" w:rsidR="00AD4861" w:rsidRPr="00CA6209" w:rsidRDefault="00AD4861" w:rsidP="0062623D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C.2.</w:t>
            </w:r>
          </w:p>
          <w:p w14:paraId="48E3CE7F" w14:textId="77777777" w:rsidR="00AD4861" w:rsidRPr="00CA6209" w:rsidRDefault="00AD4861" w:rsidP="0062623D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Genderově vyrovnané zastoupení v komisích, radách, výběrových komisích apod.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7CA621" w14:textId="77777777" w:rsidR="00AD4861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6675A6E4" w14:textId="615E735D" w:rsidR="00AD4861" w:rsidRPr="00CA6209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Zvýšit počet zastoupených žen tak, aby bylo zajištěno rovnocenné zastoupení mužů a žen.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086C4AE" w14:textId="77777777" w:rsidR="00AD4861" w:rsidRDefault="00AD4861" w:rsidP="0062623D">
            <w:pPr>
              <w:rPr>
                <w:i/>
                <w:sz w:val="20"/>
              </w:rPr>
            </w:pPr>
          </w:p>
          <w:p w14:paraId="4A9060FA" w14:textId="42AF7776" w:rsidR="00AD4861" w:rsidRPr="00CA6209" w:rsidRDefault="00AD4861" w:rsidP="0062623D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Zohlednění principu genderové vyrovnanosti při jmenování členů UR, SR, výběrových komisí apod.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auto"/>
            </w:tcBorders>
          </w:tcPr>
          <w:p w14:paraId="45A8E145" w14:textId="77777777" w:rsidR="00AD4861" w:rsidRDefault="00AD4861" w:rsidP="00F95EA3">
            <w:pPr>
              <w:rPr>
                <w:sz w:val="20"/>
              </w:rPr>
            </w:pPr>
          </w:p>
          <w:p w14:paraId="5F999C95" w14:textId="6D50891C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Veřejnost</w:t>
            </w:r>
          </w:p>
          <w:p w14:paraId="6B3D2C09" w14:textId="2318F11F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6" w:space="0" w:color="auto"/>
            </w:tcBorders>
          </w:tcPr>
          <w:p w14:paraId="1FFF2809" w14:textId="77777777" w:rsidR="00AD4861" w:rsidRDefault="00AD4861" w:rsidP="0062623D">
            <w:pPr>
              <w:rPr>
                <w:sz w:val="20"/>
              </w:rPr>
            </w:pPr>
          </w:p>
          <w:p w14:paraId="6917ADA3" w14:textId="77777777" w:rsidR="00AD4861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Prosinec 2026</w:t>
            </w:r>
            <w:r w:rsidR="003340B3">
              <w:rPr>
                <w:sz w:val="20"/>
              </w:rPr>
              <w:t>;</w:t>
            </w:r>
          </w:p>
          <w:p w14:paraId="1FE54318" w14:textId="1372A3FC" w:rsidR="003340B3" w:rsidRPr="00CA6209" w:rsidRDefault="003340B3" w:rsidP="0062623D">
            <w:pPr>
              <w:rPr>
                <w:sz w:val="20"/>
              </w:rPr>
            </w:pPr>
            <w:r>
              <w:rPr>
                <w:sz w:val="20"/>
              </w:rPr>
              <w:t>Průběžně.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EDB864" w14:textId="77777777" w:rsidR="00AD4861" w:rsidRDefault="00AD4861" w:rsidP="0062623D">
            <w:pPr>
              <w:rPr>
                <w:sz w:val="20"/>
              </w:rPr>
            </w:pPr>
          </w:p>
          <w:p w14:paraId="287547AC" w14:textId="71B34F14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372A4E" w14:textId="77777777" w:rsidR="00AD4861" w:rsidRPr="00B9553B" w:rsidRDefault="00AD4861" w:rsidP="0062623D">
            <w:pPr>
              <w:rPr>
                <w:color w:val="auto"/>
                <w:sz w:val="20"/>
                <w:szCs w:val="20"/>
              </w:rPr>
            </w:pPr>
          </w:p>
          <w:p w14:paraId="19268749" w14:textId="2C770D8E" w:rsidR="00054AB9" w:rsidRPr="00B9553B" w:rsidRDefault="00B9553B" w:rsidP="00054AB9">
            <w:pPr>
              <w:rPr>
                <w:color w:val="auto"/>
                <w:sz w:val="20"/>
                <w:szCs w:val="20"/>
              </w:rPr>
            </w:pPr>
            <w:r w:rsidRPr="00B9553B">
              <w:rPr>
                <w:color w:val="auto"/>
                <w:sz w:val="20"/>
                <w:szCs w:val="20"/>
              </w:rPr>
              <w:t xml:space="preserve">V </w:t>
            </w:r>
            <w:r w:rsidR="00054AB9" w:rsidRPr="00B9553B">
              <w:rPr>
                <w:color w:val="auto"/>
                <w:sz w:val="20"/>
                <w:szCs w:val="20"/>
              </w:rPr>
              <w:t xml:space="preserve">roce </w:t>
            </w:r>
            <w:r w:rsidR="00282BFB">
              <w:rPr>
                <w:color w:val="auto"/>
                <w:sz w:val="20"/>
                <w:szCs w:val="20"/>
              </w:rPr>
              <w:t xml:space="preserve">2024 je </w:t>
            </w:r>
            <w:r w:rsidR="00054AB9" w:rsidRPr="00B9553B">
              <w:rPr>
                <w:color w:val="auto"/>
                <w:sz w:val="20"/>
                <w:szCs w:val="20"/>
              </w:rPr>
              <w:t xml:space="preserve">počet žen ve vedení </w:t>
            </w:r>
            <w:r w:rsidRPr="00B9553B">
              <w:rPr>
                <w:color w:val="auto"/>
                <w:sz w:val="20"/>
                <w:szCs w:val="20"/>
              </w:rPr>
              <w:t xml:space="preserve">UMPRUM stále stejný, tedy </w:t>
            </w:r>
            <w:r>
              <w:rPr>
                <w:color w:val="auto"/>
                <w:sz w:val="20"/>
                <w:szCs w:val="20"/>
              </w:rPr>
              <w:t>2</w:t>
            </w:r>
            <w:r w:rsidRPr="00B9553B">
              <w:rPr>
                <w:color w:val="auto"/>
                <w:sz w:val="20"/>
                <w:szCs w:val="20"/>
              </w:rPr>
              <w:t xml:space="preserve"> ženy a </w:t>
            </w:r>
            <w:r>
              <w:rPr>
                <w:color w:val="auto"/>
                <w:sz w:val="20"/>
                <w:szCs w:val="20"/>
              </w:rPr>
              <w:t>3</w:t>
            </w:r>
            <w:r w:rsidRPr="00B9553B">
              <w:rPr>
                <w:color w:val="auto"/>
                <w:sz w:val="20"/>
                <w:szCs w:val="20"/>
              </w:rPr>
              <w:t xml:space="preserve"> muži.</w:t>
            </w:r>
            <w:r w:rsidR="00054AB9" w:rsidRPr="00B9553B">
              <w:rPr>
                <w:color w:val="auto"/>
                <w:sz w:val="20"/>
                <w:szCs w:val="20"/>
              </w:rPr>
              <w:t xml:space="preserve"> </w:t>
            </w:r>
          </w:p>
          <w:p w14:paraId="277400B9" w14:textId="77777777" w:rsidR="007E41CC" w:rsidRPr="00B9553B" w:rsidRDefault="007E41CC" w:rsidP="0062623D">
            <w:pPr>
              <w:rPr>
                <w:color w:val="auto"/>
                <w:sz w:val="20"/>
                <w:szCs w:val="20"/>
              </w:rPr>
            </w:pPr>
          </w:p>
          <w:p w14:paraId="6DEEE949" w14:textId="148F30F7" w:rsidR="00CF32CA" w:rsidRPr="00B9553B" w:rsidRDefault="00CF32CA" w:rsidP="0062623D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0133FC73" w14:textId="77777777" w:rsidR="008F7B1B" w:rsidRDefault="008F7B1B" w:rsidP="008F7B1B"/>
    <w:p w14:paraId="42686872" w14:textId="3484708C" w:rsidR="008F7B1B" w:rsidRDefault="008F7B1B" w:rsidP="008F7B1B"/>
    <w:p w14:paraId="57DE776F" w14:textId="411749B1" w:rsidR="0062623D" w:rsidRDefault="0062623D" w:rsidP="008F7B1B"/>
    <w:p w14:paraId="3572E750" w14:textId="77777777" w:rsidR="00EF5E78" w:rsidRDefault="00EF5E78" w:rsidP="008F7B1B"/>
    <w:p w14:paraId="093B3FD6" w14:textId="38CC467D" w:rsidR="003A20E9" w:rsidRDefault="003A20E9" w:rsidP="008F7B1B"/>
    <w:p w14:paraId="385188D1" w14:textId="150F647F" w:rsidR="008F7B1B" w:rsidRPr="003A20E9" w:rsidRDefault="003A20E9" w:rsidP="008F7B1B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lastRenderedPageBreak/>
        <w:t>4. STRATEGICKÝ CÍL: ZAMEZENÍ GENDEROVĚ PODMÍNĚNÉMU NÁSILÍ</w:t>
      </w:r>
    </w:p>
    <w:p w14:paraId="6A3A356A" w14:textId="77777777" w:rsidR="008F7B1B" w:rsidRDefault="008F7B1B" w:rsidP="008F7B1B"/>
    <w:tbl>
      <w:tblPr>
        <w:tblStyle w:val="Mkatabulky"/>
        <w:tblW w:w="1530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1788"/>
        <w:gridCol w:w="1546"/>
        <w:gridCol w:w="2336"/>
        <w:gridCol w:w="1276"/>
        <w:gridCol w:w="1985"/>
        <w:gridCol w:w="1984"/>
        <w:gridCol w:w="4394"/>
      </w:tblGrid>
      <w:tr w:rsidR="00BF5AAB" w14:paraId="4F540413" w14:textId="1A953853" w:rsidTr="00054AB9">
        <w:trPr>
          <w:trHeight w:val="704"/>
        </w:trPr>
        <w:tc>
          <w:tcPr>
            <w:tcW w:w="178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395B377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4C5820D9" w14:textId="7B10839A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14092A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BF10869" w14:textId="05F84A21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548EB70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18DC8D59" w14:textId="0C95AE35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E4A9B84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5C6488F2" w14:textId="39B70BC0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538809A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02743B5" w14:textId="1A4787FC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7842D18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5FB8CB16" w14:textId="5E4C7DD5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8EEC9AE" w14:textId="77777777" w:rsidR="007734E4" w:rsidRDefault="007734E4" w:rsidP="00D451C9">
            <w:pPr>
              <w:rPr>
                <w:b/>
                <w:color w:val="3333CC"/>
                <w:sz w:val="20"/>
              </w:rPr>
            </w:pPr>
          </w:p>
          <w:p w14:paraId="699E8CEF" w14:textId="4963A7DC" w:rsidR="00AD4861" w:rsidRPr="003A20E9" w:rsidRDefault="00054AB9" w:rsidP="00D451C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857D93">
              <w:rPr>
                <w:b/>
                <w:color w:val="3333CC"/>
                <w:sz w:val="20"/>
              </w:rPr>
              <w:t>4</w:t>
            </w:r>
          </w:p>
        </w:tc>
      </w:tr>
      <w:tr w:rsidR="00AD4861" w14:paraId="118A01D7" w14:textId="0291A34A" w:rsidTr="00054AB9">
        <w:trPr>
          <w:trHeight w:val="2366"/>
        </w:trPr>
        <w:tc>
          <w:tcPr>
            <w:tcW w:w="1788" w:type="dxa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</w:tcPr>
          <w:p w14:paraId="70617C00" w14:textId="77777777" w:rsidR="00AD4861" w:rsidRDefault="00AD4861" w:rsidP="00D451C9">
            <w:pPr>
              <w:rPr>
                <w:b/>
                <w:sz w:val="20"/>
              </w:rPr>
            </w:pPr>
          </w:p>
          <w:p w14:paraId="652D3B1F" w14:textId="225D4D0C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D.1. </w:t>
            </w:r>
          </w:p>
          <w:p w14:paraId="1341F586" w14:textId="77777777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Formální ukotvení agendy rovnosti mužů a žen.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</w:tcBorders>
          </w:tcPr>
          <w:p w14:paraId="1FA89286" w14:textId="77777777" w:rsidR="00AD4861" w:rsidRDefault="00AD4861" w:rsidP="00D451C9">
            <w:pPr>
              <w:rPr>
                <w:sz w:val="20"/>
              </w:rPr>
            </w:pPr>
          </w:p>
          <w:p w14:paraId="6474C050" w14:textId="000A2135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Vyčlenit úvazek pro výkon Plánu genderové rovnosti.</w:t>
            </w:r>
          </w:p>
        </w:tc>
        <w:tc>
          <w:tcPr>
            <w:tcW w:w="2336" w:type="dxa"/>
            <w:tcBorders>
              <w:top w:val="single" w:sz="8" w:space="0" w:color="auto"/>
            </w:tcBorders>
          </w:tcPr>
          <w:p w14:paraId="7B46B7D4" w14:textId="77777777" w:rsidR="00AD4861" w:rsidRDefault="00AD4861" w:rsidP="00D451C9">
            <w:pPr>
              <w:rPr>
                <w:i/>
                <w:sz w:val="20"/>
              </w:rPr>
            </w:pPr>
          </w:p>
          <w:p w14:paraId="6E02A476" w14:textId="45843088" w:rsidR="00AD4861" w:rsidRPr="00CA6209" w:rsidRDefault="00AD4861" w:rsidP="00D451C9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Na UMPRUM je vyčleněn úvazek pro výkon agendy genderové rovnosti na pozici podpůrného pracoviště.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4289D2B3" w14:textId="77777777" w:rsidR="00AD4861" w:rsidRDefault="00AD4861" w:rsidP="00D451C9">
            <w:pPr>
              <w:rPr>
                <w:sz w:val="20"/>
              </w:rPr>
            </w:pPr>
          </w:p>
          <w:p w14:paraId="57714322" w14:textId="41AA6FA5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0260E662" w14:textId="697242CF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5F54766" w14:textId="77777777" w:rsidR="00AD4861" w:rsidRDefault="00AD4861" w:rsidP="00D451C9">
            <w:pPr>
              <w:rPr>
                <w:sz w:val="20"/>
              </w:rPr>
            </w:pPr>
          </w:p>
          <w:p w14:paraId="766C362E" w14:textId="31F3EDC4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6" w:space="0" w:color="auto"/>
            </w:tcBorders>
          </w:tcPr>
          <w:p w14:paraId="61A2C029" w14:textId="77777777" w:rsidR="00AD4861" w:rsidRDefault="00AD4861" w:rsidP="00D451C9">
            <w:pPr>
              <w:rPr>
                <w:sz w:val="20"/>
              </w:rPr>
            </w:pPr>
          </w:p>
          <w:p w14:paraId="0B7B3AC3" w14:textId="745B9A60" w:rsidR="00AD4861" w:rsidRPr="00CA6209" w:rsidRDefault="00AD4861" w:rsidP="00054AB9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 w:rsidR="00054AB9">
              <w:rPr>
                <w:sz w:val="20"/>
              </w:rPr>
              <w:t>studium a tvůrčí činnost</w:t>
            </w:r>
          </w:p>
        </w:tc>
        <w:tc>
          <w:tcPr>
            <w:tcW w:w="4394" w:type="dxa"/>
            <w:tcBorders>
              <w:top w:val="single" w:sz="8" w:space="0" w:color="auto"/>
              <w:right w:val="single" w:sz="6" w:space="0" w:color="auto"/>
            </w:tcBorders>
          </w:tcPr>
          <w:p w14:paraId="7EB34443" w14:textId="77777777" w:rsidR="00054AB9" w:rsidRDefault="00054AB9" w:rsidP="00054AB9">
            <w:pPr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4857C669" w14:textId="68EADF82" w:rsidR="00B92AC3" w:rsidRPr="00B92AC3" w:rsidRDefault="0072164B" w:rsidP="00054AB9">
            <w:pPr>
              <w:rPr>
                <w:rFonts w:eastAsia="Arial" w:cs="Arial"/>
                <w:color w:val="auto"/>
                <w:sz w:val="20"/>
                <w:szCs w:val="20"/>
                <w:highlight w:val="white"/>
              </w:rPr>
            </w:pPr>
            <w:r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Ombudsmanka od </w:t>
            </w:r>
            <w:r w:rsidR="00B92AC3"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nástupu do funkce </w:t>
            </w:r>
            <w:r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vydává </w:t>
            </w:r>
            <w:r w:rsidR="00B92AC3"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výroční </w:t>
            </w:r>
            <w:r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>zpráv</w:t>
            </w:r>
            <w:r w:rsidR="00B92AC3"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>y</w:t>
            </w:r>
            <w:r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 o své činnosti, kde lze sledovat trendy v tématech, která lidé na UMPRUM řeší. Přibližně polovina případů se týká pracujících. Výroční zprávy jsou k dohledání zde: </w:t>
            </w:r>
          </w:p>
          <w:p w14:paraId="72B0788F" w14:textId="004C9101" w:rsidR="00054AB9" w:rsidRPr="00054AB9" w:rsidRDefault="00B92AC3" w:rsidP="00054AB9">
            <w:pPr>
              <w:rPr>
                <w:rFonts w:eastAsia="Arial" w:cs="Arial"/>
                <w:color w:val="ED7D31" w:themeColor="accent2"/>
                <w:sz w:val="20"/>
                <w:szCs w:val="20"/>
                <w:highlight w:val="white"/>
              </w:rPr>
            </w:pPr>
            <w:r w:rsidRPr="00B92AC3">
              <w:rPr>
                <w:rFonts w:eastAsia="Arial" w:cs="Arial"/>
                <w:color w:val="auto"/>
                <w:sz w:val="20"/>
                <w:szCs w:val="20"/>
              </w:rPr>
              <w:t>https://www.umprum.cz/cs/intranet/student/system-podpory</w:t>
            </w:r>
            <w:r w:rsidR="0072164B">
              <w:rPr>
                <w:rFonts w:eastAsia="Arial" w:cs="Arial"/>
                <w:color w:val="ED7D31" w:themeColor="accent2"/>
                <w:sz w:val="20"/>
                <w:szCs w:val="20"/>
                <w:highlight w:val="white"/>
              </w:rPr>
              <w:br/>
            </w:r>
          </w:p>
          <w:p w14:paraId="28320807" w14:textId="3B9232B7" w:rsidR="00AD4861" w:rsidRDefault="00AD4861" w:rsidP="00D451C9">
            <w:pPr>
              <w:rPr>
                <w:sz w:val="20"/>
              </w:rPr>
            </w:pPr>
          </w:p>
        </w:tc>
      </w:tr>
      <w:tr w:rsidR="00AD4861" w14:paraId="4B6EA8DF" w14:textId="226ACC97" w:rsidTr="00054AB9">
        <w:trPr>
          <w:trHeight w:val="3814"/>
        </w:trPr>
        <w:tc>
          <w:tcPr>
            <w:tcW w:w="1788" w:type="dxa"/>
            <w:tcBorders>
              <w:left w:val="single" w:sz="6" w:space="0" w:color="auto"/>
              <w:right w:val="single" w:sz="4" w:space="0" w:color="auto"/>
            </w:tcBorders>
          </w:tcPr>
          <w:p w14:paraId="6BCCE5EC" w14:textId="77777777" w:rsidR="00AD4861" w:rsidRDefault="00AD4861" w:rsidP="00505856">
            <w:pPr>
              <w:rPr>
                <w:b/>
                <w:sz w:val="20"/>
              </w:rPr>
            </w:pPr>
          </w:p>
          <w:p w14:paraId="76755504" w14:textId="42EF278B" w:rsidR="00AD4861" w:rsidRPr="00CA6209" w:rsidRDefault="00AD4861" w:rsidP="00505856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D.2. </w:t>
            </w:r>
          </w:p>
          <w:p w14:paraId="0E4B7856" w14:textId="77777777" w:rsidR="00AD4861" w:rsidRPr="00CA6209" w:rsidRDefault="00AD4861" w:rsidP="00505856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Zajištění vzdělávání a zvyšování kompetencí v oblasti rovnosti žen a mužů.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3698D3FA" w14:textId="77777777" w:rsidR="00AD4861" w:rsidRDefault="00AD4861" w:rsidP="00505856">
            <w:pPr>
              <w:rPr>
                <w:sz w:val="20"/>
              </w:rPr>
            </w:pPr>
          </w:p>
          <w:p w14:paraId="005434B7" w14:textId="2008EBF9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Zajištění školení a vzdělávání v oblasti rovnosti mužů a žen.</w:t>
            </w:r>
          </w:p>
        </w:tc>
        <w:tc>
          <w:tcPr>
            <w:tcW w:w="2336" w:type="dxa"/>
          </w:tcPr>
          <w:p w14:paraId="7CE53E9E" w14:textId="77777777" w:rsidR="00AD4861" w:rsidRDefault="00AD4861" w:rsidP="00505856">
            <w:pPr>
              <w:rPr>
                <w:i/>
                <w:sz w:val="20"/>
              </w:rPr>
            </w:pPr>
          </w:p>
          <w:p w14:paraId="3977102C" w14:textId="01A03A46" w:rsidR="00AD4861" w:rsidRPr="00CA6209" w:rsidRDefault="00AD4861" w:rsidP="00505856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Zajištění následného vzdělávání akademických a neakademických pracujících v oblasti genderové rovnosti a rovného přístupu.</w:t>
            </w:r>
          </w:p>
        </w:tc>
        <w:tc>
          <w:tcPr>
            <w:tcW w:w="1276" w:type="dxa"/>
          </w:tcPr>
          <w:p w14:paraId="3B16930F" w14:textId="77777777" w:rsidR="00AD4861" w:rsidRDefault="00AD4861" w:rsidP="00505856">
            <w:pPr>
              <w:rPr>
                <w:sz w:val="20"/>
              </w:rPr>
            </w:pPr>
          </w:p>
          <w:p w14:paraId="6C147B31" w14:textId="77777777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069FFD8E" w14:textId="68C6F159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</w:tcPr>
          <w:p w14:paraId="4B8BFF00" w14:textId="77777777" w:rsidR="00AD4861" w:rsidRDefault="00AD4861" w:rsidP="00505856">
            <w:pPr>
              <w:rPr>
                <w:sz w:val="20"/>
              </w:rPr>
            </w:pPr>
          </w:p>
          <w:p w14:paraId="54C26FCD" w14:textId="77777777" w:rsidR="00AD4861" w:rsidRDefault="00AD4861" w:rsidP="00505856">
            <w:pPr>
              <w:rPr>
                <w:sz w:val="20"/>
              </w:rPr>
            </w:pPr>
            <w:r>
              <w:rPr>
                <w:sz w:val="20"/>
              </w:rPr>
              <w:t>Prosinec 2022</w:t>
            </w:r>
          </w:p>
          <w:p w14:paraId="27B42A99" w14:textId="4247EC48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Průběžně.</w:t>
            </w:r>
          </w:p>
        </w:tc>
        <w:tc>
          <w:tcPr>
            <w:tcW w:w="1984" w:type="dxa"/>
            <w:tcBorders>
              <w:right w:val="single" w:sz="6" w:space="0" w:color="auto"/>
            </w:tcBorders>
          </w:tcPr>
          <w:p w14:paraId="2AD82085" w14:textId="77777777" w:rsidR="00AD4861" w:rsidRPr="009E1C7F" w:rsidRDefault="00AD4861" w:rsidP="00505856">
            <w:pPr>
              <w:rPr>
                <w:sz w:val="20"/>
              </w:rPr>
            </w:pPr>
          </w:p>
          <w:p w14:paraId="4B45AF9B" w14:textId="10985C95" w:rsidR="00AD4861" w:rsidRPr="007A4BC2" w:rsidRDefault="00AD4861" w:rsidP="00505856">
            <w:pPr>
              <w:rPr>
                <w:sz w:val="20"/>
              </w:rPr>
            </w:pPr>
            <w:r w:rsidRPr="007A4BC2">
              <w:rPr>
                <w:color w:val="000000" w:themeColor="text1"/>
                <w:sz w:val="20"/>
              </w:rPr>
              <w:t>Pracovník/pracovnice pověřený/á agendou genderové rovnosti</w:t>
            </w:r>
          </w:p>
        </w:tc>
        <w:tc>
          <w:tcPr>
            <w:tcW w:w="4394" w:type="dxa"/>
            <w:tcBorders>
              <w:right w:val="single" w:sz="6" w:space="0" w:color="auto"/>
            </w:tcBorders>
          </w:tcPr>
          <w:p w14:paraId="2D8291A6" w14:textId="77777777" w:rsidR="00AD4861" w:rsidRDefault="00AD4861" w:rsidP="00505856">
            <w:pPr>
              <w:rPr>
                <w:sz w:val="20"/>
              </w:rPr>
            </w:pPr>
          </w:p>
          <w:p w14:paraId="76377161" w14:textId="4723A98D" w:rsidR="00CB2FC2" w:rsidRPr="00BE1B16" w:rsidRDefault="00174367" w:rsidP="00BF5AAB">
            <w:pPr>
              <w:rPr>
                <w:rFonts w:eastAsia="Arial" w:cs="Arial"/>
                <w:color w:val="auto"/>
                <w:sz w:val="20"/>
                <w:szCs w:val="20"/>
              </w:rPr>
            </w:pPr>
            <w:r w:rsidRPr="00B9553B">
              <w:rPr>
                <w:rFonts w:eastAsia="Arial" w:cs="Arial"/>
                <w:color w:val="auto"/>
                <w:sz w:val="20"/>
                <w:szCs w:val="20"/>
              </w:rPr>
              <w:t>V roce 202</w:t>
            </w:r>
            <w:r w:rsidR="00282BFB">
              <w:rPr>
                <w:rFonts w:eastAsia="Arial" w:cs="Arial"/>
                <w:color w:val="auto"/>
                <w:sz w:val="20"/>
                <w:szCs w:val="20"/>
              </w:rPr>
              <w:t>4</w:t>
            </w:r>
            <w:r w:rsidRPr="00B9553B">
              <w:rPr>
                <w:rFonts w:eastAsia="Arial" w:cs="Arial"/>
                <w:color w:val="auto"/>
                <w:sz w:val="20"/>
                <w:szCs w:val="20"/>
              </w:rPr>
              <w:t xml:space="preserve"> proběhlo školení na téma bezpečí </w:t>
            </w:r>
            <w:r w:rsidR="00282BFB">
              <w:rPr>
                <w:rFonts w:eastAsia="Arial" w:cs="Arial"/>
                <w:color w:val="auto"/>
                <w:sz w:val="20"/>
                <w:szCs w:val="20"/>
              </w:rPr>
              <w:t xml:space="preserve">v akademickém prostředí od organizace </w:t>
            </w:r>
            <w:proofErr w:type="spellStart"/>
            <w:r w:rsidR="00282BFB">
              <w:rPr>
                <w:rFonts w:eastAsia="Arial" w:cs="Arial"/>
                <w:color w:val="auto"/>
                <w:sz w:val="20"/>
                <w:szCs w:val="20"/>
              </w:rPr>
              <w:t>Konsent</w:t>
            </w:r>
            <w:proofErr w:type="spellEnd"/>
            <w:r w:rsidR="00BE1B16">
              <w:rPr>
                <w:rFonts w:eastAsia="Arial" w:cs="Arial"/>
                <w:color w:val="auto"/>
                <w:sz w:val="20"/>
                <w:szCs w:val="20"/>
              </w:rPr>
              <w:t xml:space="preserve"> určeno pro pracující</w:t>
            </w:r>
            <w:r w:rsidRPr="00B9553B">
              <w:rPr>
                <w:rFonts w:eastAsia="Arial" w:cs="Arial"/>
                <w:color w:val="auto"/>
                <w:sz w:val="20"/>
                <w:szCs w:val="20"/>
              </w:rPr>
              <w:t>.</w:t>
            </w:r>
            <w:r w:rsidR="00282BFB">
              <w:rPr>
                <w:rFonts w:eastAsia="Arial" w:cs="Arial"/>
                <w:color w:val="auto"/>
                <w:sz w:val="20"/>
                <w:szCs w:val="20"/>
              </w:rPr>
              <w:t xml:space="preserve"> Dále proběhlo vzdělávání od organizace Moderní sebeobrana</w:t>
            </w:r>
            <w:r w:rsidR="00BE1B16">
              <w:rPr>
                <w:rFonts w:eastAsia="Arial" w:cs="Arial"/>
                <w:color w:val="auto"/>
                <w:sz w:val="20"/>
                <w:szCs w:val="20"/>
              </w:rPr>
              <w:t xml:space="preserve"> pro studující i pracující</w:t>
            </w:r>
            <w:r w:rsidRPr="00B9553B">
              <w:rPr>
                <w:rFonts w:eastAsia="Arial" w:cs="Arial"/>
                <w:color w:val="auto"/>
                <w:sz w:val="20"/>
                <w:szCs w:val="20"/>
              </w:rPr>
              <w:t xml:space="preserve">. </w:t>
            </w:r>
            <w:r w:rsidR="00282BFB">
              <w:rPr>
                <w:rFonts w:eastAsia="Arial" w:cs="Arial"/>
                <w:color w:val="auto"/>
                <w:sz w:val="20"/>
                <w:szCs w:val="20"/>
              </w:rPr>
              <w:t xml:space="preserve">K dispozici byly i nadále </w:t>
            </w:r>
            <w:proofErr w:type="spellStart"/>
            <w:r w:rsidRPr="00B9553B">
              <w:rPr>
                <w:rFonts w:eastAsia="Arial" w:cs="Arial"/>
                <w:color w:val="auto"/>
                <w:sz w:val="20"/>
                <w:szCs w:val="20"/>
              </w:rPr>
              <w:t>intervizní</w:t>
            </w:r>
            <w:proofErr w:type="spellEnd"/>
            <w:r w:rsidRPr="00B9553B">
              <w:rPr>
                <w:rFonts w:eastAsia="Arial" w:cs="Arial"/>
                <w:color w:val="auto"/>
                <w:sz w:val="20"/>
                <w:szCs w:val="20"/>
              </w:rPr>
              <w:t xml:space="preserve"> skupiny </w:t>
            </w:r>
            <w:r w:rsidR="00054AB9" w:rsidRPr="00B9553B">
              <w:rPr>
                <w:rFonts w:eastAsia="Arial" w:cs="Arial"/>
                <w:color w:val="auto"/>
                <w:sz w:val="20"/>
                <w:szCs w:val="20"/>
              </w:rPr>
              <w:t>pro pracující 1x měsíčně</w:t>
            </w:r>
            <w:r w:rsidR="00282BFB">
              <w:rPr>
                <w:rFonts w:eastAsia="Arial" w:cs="Arial"/>
                <w:color w:val="auto"/>
                <w:sz w:val="20"/>
                <w:szCs w:val="20"/>
              </w:rPr>
              <w:t>.</w:t>
            </w:r>
            <w:r w:rsidR="00B92AC3">
              <w:rPr>
                <w:rFonts w:eastAsia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AD4861" w14:paraId="223898AD" w14:textId="48057CBD" w:rsidTr="00054AB9">
        <w:trPr>
          <w:trHeight w:val="2261"/>
        </w:trPr>
        <w:tc>
          <w:tcPr>
            <w:tcW w:w="1788" w:type="dxa"/>
            <w:tcBorders>
              <w:left w:val="single" w:sz="6" w:space="0" w:color="auto"/>
              <w:right w:val="single" w:sz="4" w:space="0" w:color="auto"/>
            </w:tcBorders>
          </w:tcPr>
          <w:p w14:paraId="156966DC" w14:textId="77777777" w:rsidR="00AD4861" w:rsidRDefault="00AD4861" w:rsidP="00F95EA3">
            <w:pPr>
              <w:rPr>
                <w:b/>
                <w:sz w:val="20"/>
              </w:rPr>
            </w:pPr>
          </w:p>
          <w:p w14:paraId="6F514B80" w14:textId="39A8A25C" w:rsidR="00AD4861" w:rsidRPr="00CA6209" w:rsidRDefault="00AD4861" w:rsidP="00F95EA3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D.3.</w:t>
            </w:r>
          </w:p>
          <w:p w14:paraId="1CCA5B33" w14:textId="77777777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b/>
                <w:sz w:val="20"/>
              </w:rPr>
              <w:t>Ukotven postup pro řešení problematických situací.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60722169" w14:textId="77777777" w:rsidR="00AD4861" w:rsidRPr="00505856" w:rsidRDefault="00AD4861" w:rsidP="00F95EA3">
            <w:pPr>
              <w:rPr>
                <w:sz w:val="20"/>
              </w:rPr>
            </w:pPr>
          </w:p>
          <w:p w14:paraId="1A196402" w14:textId="17061C23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Manuál pro problematické situace.</w:t>
            </w:r>
          </w:p>
        </w:tc>
        <w:tc>
          <w:tcPr>
            <w:tcW w:w="2336" w:type="dxa"/>
          </w:tcPr>
          <w:p w14:paraId="37BF764B" w14:textId="77777777" w:rsidR="00AD4861" w:rsidRPr="00505856" w:rsidRDefault="00AD4861" w:rsidP="00F95EA3">
            <w:pPr>
              <w:rPr>
                <w:i/>
                <w:sz w:val="20"/>
              </w:rPr>
            </w:pPr>
          </w:p>
          <w:p w14:paraId="5B1E6835" w14:textId="27A76EE5" w:rsidR="00AD4861" w:rsidRPr="00505856" w:rsidRDefault="00AD4861" w:rsidP="00F95EA3">
            <w:pPr>
              <w:rPr>
                <w:i/>
                <w:sz w:val="20"/>
              </w:rPr>
            </w:pPr>
            <w:r w:rsidRPr="00505856">
              <w:rPr>
                <w:i/>
                <w:sz w:val="20"/>
              </w:rPr>
              <w:t>Bude vydán manuál s konkrétním postupem pro problematické situace</w:t>
            </w:r>
            <w:r>
              <w:rPr>
                <w:i/>
                <w:sz w:val="20"/>
              </w:rPr>
              <w:t>, kam se obrátit, jaké jsou možnosti řešení</w:t>
            </w:r>
            <w:r w:rsidRPr="00505856">
              <w:rPr>
                <w:i/>
                <w:sz w:val="20"/>
              </w:rPr>
              <w:t>.</w:t>
            </w:r>
          </w:p>
        </w:tc>
        <w:tc>
          <w:tcPr>
            <w:tcW w:w="1276" w:type="dxa"/>
          </w:tcPr>
          <w:p w14:paraId="06261451" w14:textId="77777777" w:rsidR="00AD4861" w:rsidRPr="00505856" w:rsidRDefault="00AD4861" w:rsidP="00F95EA3">
            <w:pPr>
              <w:rPr>
                <w:sz w:val="20"/>
              </w:rPr>
            </w:pPr>
          </w:p>
          <w:p w14:paraId="49C2CE46" w14:textId="6E31C381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Pracující</w:t>
            </w:r>
          </w:p>
          <w:p w14:paraId="401ECB7D" w14:textId="51704026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Studující</w:t>
            </w:r>
          </w:p>
        </w:tc>
        <w:tc>
          <w:tcPr>
            <w:tcW w:w="1985" w:type="dxa"/>
          </w:tcPr>
          <w:p w14:paraId="7FD8B557" w14:textId="77777777" w:rsidR="00AD4861" w:rsidRPr="00505856" w:rsidRDefault="00AD4861" w:rsidP="00F95EA3">
            <w:pPr>
              <w:rPr>
                <w:sz w:val="20"/>
              </w:rPr>
            </w:pPr>
          </w:p>
          <w:p w14:paraId="38909E09" w14:textId="1CDB862A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Prosinec 202</w:t>
            </w:r>
            <w:r>
              <w:rPr>
                <w:sz w:val="20"/>
              </w:rPr>
              <w:t>5</w:t>
            </w:r>
          </w:p>
        </w:tc>
        <w:tc>
          <w:tcPr>
            <w:tcW w:w="1984" w:type="dxa"/>
            <w:tcBorders>
              <w:right w:val="single" w:sz="6" w:space="0" w:color="auto"/>
            </w:tcBorders>
          </w:tcPr>
          <w:p w14:paraId="3156C606" w14:textId="77777777" w:rsidR="00054AB9" w:rsidRDefault="00054AB9" w:rsidP="00993472">
            <w:pPr>
              <w:rPr>
                <w:sz w:val="20"/>
              </w:rPr>
            </w:pPr>
          </w:p>
          <w:p w14:paraId="170126C2" w14:textId="59085FF9" w:rsidR="00AD4861" w:rsidRPr="009E1C7F" w:rsidRDefault="00AD4861" w:rsidP="00993472">
            <w:pPr>
              <w:rPr>
                <w:sz w:val="20"/>
              </w:rPr>
            </w:pPr>
            <w:r w:rsidRPr="009E1C7F">
              <w:rPr>
                <w:sz w:val="20"/>
              </w:rPr>
              <w:t>Pracovník/pracovnice pověřený/á agendou genderové rovnosti</w:t>
            </w:r>
          </w:p>
        </w:tc>
        <w:tc>
          <w:tcPr>
            <w:tcW w:w="4394" w:type="dxa"/>
            <w:tcBorders>
              <w:right w:val="single" w:sz="6" w:space="0" w:color="auto"/>
            </w:tcBorders>
          </w:tcPr>
          <w:p w14:paraId="6E2FCB0A" w14:textId="77777777" w:rsidR="00B92AC3" w:rsidRDefault="00B92AC3" w:rsidP="00993472">
            <w:pPr>
              <w:rPr>
                <w:sz w:val="20"/>
              </w:rPr>
            </w:pPr>
          </w:p>
          <w:p w14:paraId="158F4B16" w14:textId="03E115C6" w:rsidR="00AD4861" w:rsidRPr="009E1C7F" w:rsidRDefault="00151A94" w:rsidP="00993472">
            <w:pPr>
              <w:rPr>
                <w:sz w:val="20"/>
              </w:rPr>
            </w:pPr>
            <w:r>
              <w:rPr>
                <w:sz w:val="20"/>
              </w:rPr>
              <w:t xml:space="preserve">V plánu </w:t>
            </w:r>
            <w:r w:rsidR="00BE1B16">
              <w:rPr>
                <w:sz w:val="20"/>
              </w:rPr>
              <w:t>do prosince</w:t>
            </w:r>
            <w:r>
              <w:rPr>
                <w:sz w:val="20"/>
              </w:rPr>
              <w:t xml:space="preserve"> 2025 – vytvoří ombudsmanka, rozešle emailem všem pracujícím a studujícím na UMPRUM</w:t>
            </w:r>
            <w:r w:rsidR="00BE1B16">
              <w:rPr>
                <w:sz w:val="20"/>
              </w:rPr>
              <w:t xml:space="preserve"> a dále bude manuál vyvěšen na intranetu v záložce „systém podpory. </w:t>
            </w:r>
          </w:p>
        </w:tc>
      </w:tr>
      <w:tr w:rsidR="00AD4861" w14:paraId="2B263E24" w14:textId="3540381A" w:rsidTr="00054AB9">
        <w:trPr>
          <w:trHeight w:val="3121"/>
        </w:trPr>
        <w:tc>
          <w:tcPr>
            <w:tcW w:w="178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AE983" w14:textId="77777777" w:rsidR="00AD4861" w:rsidRDefault="00AD4861" w:rsidP="00F95EA3">
            <w:pPr>
              <w:rPr>
                <w:b/>
                <w:sz w:val="20"/>
              </w:rPr>
            </w:pPr>
          </w:p>
          <w:p w14:paraId="7045E12A" w14:textId="346B236D" w:rsidR="00AD4861" w:rsidRPr="00CA6209" w:rsidRDefault="00AD4861" w:rsidP="00F95E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CA6209">
              <w:rPr>
                <w:b/>
                <w:sz w:val="20"/>
              </w:rPr>
              <w:t>. 4.</w:t>
            </w:r>
          </w:p>
          <w:p w14:paraId="43DBEA90" w14:textId="77777777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b/>
                <w:sz w:val="20"/>
              </w:rPr>
              <w:t>Informovanost studentů a zaměstnanců o problematice genderové rovnosti a etiky zajištěna.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6" w:space="0" w:color="auto"/>
            </w:tcBorders>
          </w:tcPr>
          <w:p w14:paraId="48788B22" w14:textId="77777777" w:rsidR="00AD4861" w:rsidRDefault="00AD4861" w:rsidP="00F95EA3">
            <w:pPr>
              <w:rPr>
                <w:sz w:val="20"/>
              </w:rPr>
            </w:pPr>
          </w:p>
          <w:p w14:paraId="66C27C23" w14:textId="36D5F082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Vytvoření záložky na webu školy.</w:t>
            </w:r>
          </w:p>
        </w:tc>
        <w:tc>
          <w:tcPr>
            <w:tcW w:w="2336" w:type="dxa"/>
            <w:tcBorders>
              <w:bottom w:val="single" w:sz="6" w:space="0" w:color="auto"/>
            </w:tcBorders>
          </w:tcPr>
          <w:p w14:paraId="65854CE9" w14:textId="77777777" w:rsidR="00AD4861" w:rsidRDefault="00AD4861" w:rsidP="00F95EA3">
            <w:pPr>
              <w:rPr>
                <w:i/>
                <w:sz w:val="20"/>
              </w:rPr>
            </w:pPr>
          </w:p>
          <w:p w14:paraId="4E214526" w14:textId="6BB04CF5" w:rsidR="00AD4861" w:rsidRPr="00CA6209" w:rsidRDefault="00AD4861" w:rsidP="00F95EA3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Bude vytvořena záložka na webu školy, který bude shromažďovat všechny postupy a informace k problematice na jednom místě. Záložka bude pravidelně aktualizována.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788AF71" w14:textId="77777777" w:rsidR="00AD4861" w:rsidRDefault="00AD4861" w:rsidP="00F95EA3">
            <w:pPr>
              <w:rPr>
                <w:sz w:val="20"/>
              </w:rPr>
            </w:pPr>
          </w:p>
          <w:p w14:paraId="7FB84ECF" w14:textId="673E2E72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2F946318" w14:textId="5CB455C8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4D7BB153" w14:textId="77777777" w:rsidR="00AD4861" w:rsidRDefault="00AD4861" w:rsidP="00CA6209">
            <w:pPr>
              <w:rPr>
                <w:sz w:val="20"/>
              </w:rPr>
            </w:pPr>
          </w:p>
          <w:p w14:paraId="7A0B6A74" w14:textId="07EDEBCC" w:rsidR="00AD4861" w:rsidRDefault="00AD4861" w:rsidP="00CA6209">
            <w:pPr>
              <w:rPr>
                <w:sz w:val="20"/>
              </w:rPr>
            </w:pPr>
            <w:r w:rsidRPr="00CA6209">
              <w:rPr>
                <w:sz w:val="20"/>
              </w:rPr>
              <w:t>Prosinec 2022</w:t>
            </w:r>
            <w:r>
              <w:rPr>
                <w:sz w:val="20"/>
              </w:rPr>
              <w:t>;</w:t>
            </w:r>
          </w:p>
          <w:p w14:paraId="6D669500" w14:textId="4B4C9530" w:rsidR="00AD4861" w:rsidRPr="00CA6209" w:rsidRDefault="00AD4861" w:rsidP="00CA6209">
            <w:pPr>
              <w:rPr>
                <w:sz w:val="20"/>
              </w:rPr>
            </w:pPr>
            <w:r>
              <w:rPr>
                <w:sz w:val="20"/>
              </w:rPr>
              <w:t>Průběžně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</w:tcPr>
          <w:p w14:paraId="0FDB4939" w14:textId="77777777" w:rsidR="00AD4861" w:rsidRDefault="00AD4861" w:rsidP="00F95EA3">
            <w:pPr>
              <w:rPr>
                <w:sz w:val="20"/>
              </w:rPr>
            </w:pPr>
          </w:p>
          <w:p w14:paraId="25182A94" w14:textId="4B80E4E9" w:rsidR="00AD4861" w:rsidRPr="00CA6209" w:rsidRDefault="00AD4861" w:rsidP="00505856">
            <w:pPr>
              <w:rPr>
                <w:sz w:val="20"/>
              </w:rPr>
            </w:pPr>
            <w:r>
              <w:rPr>
                <w:sz w:val="20"/>
              </w:rPr>
              <w:t>Vedení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14:paraId="3EEB510E" w14:textId="77777777" w:rsidR="00AD4861" w:rsidRPr="0009316A" w:rsidRDefault="00AD4861" w:rsidP="00F95EA3">
            <w:pPr>
              <w:rPr>
                <w:color w:val="auto"/>
                <w:sz w:val="20"/>
              </w:rPr>
            </w:pPr>
          </w:p>
          <w:p w14:paraId="66C8A630" w14:textId="77777777" w:rsidR="001B2123" w:rsidRDefault="001B2123" w:rsidP="00054AB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 webu existuje záložka genderová rovnost ZDE:</w:t>
            </w:r>
          </w:p>
          <w:p w14:paraId="7BB4FE41" w14:textId="08F49747" w:rsidR="00BF5AAB" w:rsidRPr="00BE1B16" w:rsidRDefault="00BE1B16" w:rsidP="00054AB9">
            <w:pPr>
              <w:rPr>
                <w:color w:val="auto"/>
                <w:sz w:val="20"/>
                <w:szCs w:val="20"/>
              </w:rPr>
            </w:pPr>
            <w:r w:rsidRPr="00BE1B16">
              <w:rPr>
                <w:color w:val="auto"/>
                <w:sz w:val="20"/>
                <w:szCs w:val="20"/>
              </w:rPr>
              <w:t>https://www.umprum.cz/cs/web/o-umprum/organy-skoly/eticka-komise/genderova-rovnost</w:t>
            </w:r>
            <w:r>
              <w:rPr>
                <w:color w:val="auto"/>
                <w:sz w:val="20"/>
                <w:szCs w:val="20"/>
              </w:rPr>
              <w:t>.</w:t>
            </w:r>
            <w:r w:rsidR="001B2123">
              <w:rPr>
                <w:color w:val="auto"/>
                <w:sz w:val="20"/>
                <w:szCs w:val="20"/>
              </w:rPr>
              <w:br/>
            </w:r>
            <w:r w:rsidR="003F3931" w:rsidRPr="0009316A">
              <w:rPr>
                <w:color w:val="auto"/>
                <w:sz w:val="20"/>
                <w:szCs w:val="20"/>
              </w:rPr>
              <w:t xml:space="preserve">Dochází k pravidelné aktualizaci záložky </w:t>
            </w:r>
            <w:r w:rsidR="00054AB9" w:rsidRPr="0009316A">
              <w:rPr>
                <w:color w:val="auto"/>
                <w:sz w:val="20"/>
                <w:szCs w:val="20"/>
              </w:rPr>
              <w:t>SYSTÉM PODPORY</w:t>
            </w:r>
            <w:r w:rsidR="003F3931" w:rsidRPr="0009316A">
              <w:rPr>
                <w:color w:val="auto"/>
                <w:sz w:val="20"/>
                <w:szCs w:val="20"/>
              </w:rPr>
              <w:t>, která se n</w:t>
            </w:r>
            <w:r w:rsidR="00054AB9" w:rsidRPr="0009316A">
              <w:rPr>
                <w:color w:val="auto"/>
                <w:sz w:val="20"/>
                <w:szCs w:val="20"/>
              </w:rPr>
              <w:t>achází se na intranetu školy</w:t>
            </w:r>
            <w:r w:rsidR="003F3931" w:rsidRPr="0009316A">
              <w:rPr>
                <w:color w:val="auto"/>
                <w:sz w:val="20"/>
                <w:szCs w:val="20"/>
              </w:rPr>
              <w:t xml:space="preserve">. </w:t>
            </w:r>
            <w:r w:rsidR="00CB2FC2">
              <w:rPr>
                <w:color w:val="auto"/>
                <w:sz w:val="20"/>
                <w:szCs w:val="20"/>
              </w:rPr>
              <w:t>Dostupné z</w:t>
            </w:r>
            <w:r w:rsidR="00174367">
              <w:rPr>
                <w:color w:val="auto"/>
                <w:sz w:val="20"/>
                <w:szCs w:val="20"/>
              </w:rPr>
              <w:t xml:space="preserve">: </w:t>
            </w:r>
            <w:hyperlink r:id="rId10" w:history="1">
              <w:r w:rsidR="00174367" w:rsidRPr="00814F07">
                <w:rPr>
                  <w:rStyle w:val="Hypertextovodkaz"/>
                  <w:sz w:val="20"/>
                  <w:szCs w:val="20"/>
                </w:rPr>
                <w:t>https://www.umprum.cz/cs/intranet/student/system-podpory</w:t>
              </w:r>
            </w:hyperlink>
            <w:r w:rsidR="00054AB9" w:rsidRPr="0009316A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br/>
              <w:t>Z rozhovorů vyplývá, že lidé spíše hledají záložku „systém podpory,“ než „plán genderové rovnosti.“</w:t>
            </w:r>
            <w:r>
              <w:rPr>
                <w:color w:val="auto"/>
                <w:sz w:val="20"/>
                <w:szCs w:val="20"/>
              </w:rPr>
              <w:br/>
            </w:r>
            <w:r w:rsidR="003F3931" w:rsidRPr="0009316A">
              <w:rPr>
                <w:color w:val="auto"/>
                <w:sz w:val="20"/>
                <w:szCs w:val="20"/>
              </w:rPr>
              <w:t>V roce 202</w:t>
            </w:r>
            <w:r w:rsidR="00151A94">
              <w:rPr>
                <w:color w:val="auto"/>
                <w:sz w:val="20"/>
                <w:szCs w:val="20"/>
              </w:rPr>
              <w:t>4</w:t>
            </w:r>
            <w:r w:rsidR="003F3931" w:rsidRPr="0009316A">
              <w:rPr>
                <w:color w:val="auto"/>
                <w:sz w:val="20"/>
                <w:szCs w:val="20"/>
              </w:rPr>
              <w:t xml:space="preserve"> </w:t>
            </w:r>
            <w:r w:rsidR="00151A94">
              <w:rPr>
                <w:color w:val="auto"/>
                <w:sz w:val="20"/>
                <w:szCs w:val="20"/>
              </w:rPr>
              <w:t xml:space="preserve">se připravujeme na zavedení </w:t>
            </w:r>
            <w:proofErr w:type="spellStart"/>
            <w:r w:rsidR="00151A94">
              <w:rPr>
                <w:color w:val="auto"/>
                <w:sz w:val="20"/>
                <w:szCs w:val="20"/>
              </w:rPr>
              <w:t xml:space="preserve">pozice </w:t>
            </w:r>
            <w:r w:rsidR="003F3931" w:rsidRPr="0009316A">
              <w:rPr>
                <w:color w:val="auto"/>
                <w:sz w:val="20"/>
                <w:szCs w:val="20"/>
              </w:rPr>
              <w:t>speciáln</w:t>
            </w:r>
            <w:proofErr w:type="spellEnd"/>
            <w:r w:rsidR="003F3931" w:rsidRPr="0009316A">
              <w:rPr>
                <w:color w:val="auto"/>
                <w:sz w:val="20"/>
                <w:szCs w:val="20"/>
              </w:rPr>
              <w:t>í pedagožky</w:t>
            </w:r>
            <w:r w:rsidR="00054AB9" w:rsidRPr="0009316A"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752AC4C4" w14:textId="77777777" w:rsidR="008F7B1B" w:rsidRDefault="008F7B1B" w:rsidP="008F7B1B"/>
    <w:p w14:paraId="2653A0F3" w14:textId="4F3ED3DA" w:rsidR="00BE5881" w:rsidRDefault="00BE5881" w:rsidP="00DB72B0">
      <w:pPr>
        <w:rPr>
          <w:szCs w:val="18"/>
        </w:rPr>
      </w:pPr>
    </w:p>
    <w:p w14:paraId="38522631" w14:textId="2F42704A" w:rsidR="00840B12" w:rsidRPr="00840B12" w:rsidRDefault="00840B12" w:rsidP="00DB72B0">
      <w:pPr>
        <w:rPr>
          <w:b/>
          <w:sz w:val="20"/>
          <w:szCs w:val="18"/>
        </w:rPr>
      </w:pPr>
      <w:r w:rsidRPr="00840B12">
        <w:rPr>
          <w:sz w:val="20"/>
          <w:szCs w:val="18"/>
        </w:rPr>
        <w:t xml:space="preserve">Vyhodnotila: </w:t>
      </w:r>
      <w:r w:rsidR="005A22D3">
        <w:rPr>
          <w:b/>
          <w:sz w:val="20"/>
          <w:szCs w:val="18"/>
        </w:rPr>
        <w:t xml:space="preserve">Tereza Nešetřil </w:t>
      </w:r>
      <w:proofErr w:type="spellStart"/>
      <w:r w:rsidR="005A22D3">
        <w:rPr>
          <w:b/>
          <w:sz w:val="20"/>
          <w:szCs w:val="18"/>
        </w:rPr>
        <w:t>Vejřík</w:t>
      </w:r>
      <w:proofErr w:type="spellEnd"/>
      <w:r w:rsidR="005A22D3">
        <w:rPr>
          <w:b/>
          <w:sz w:val="20"/>
          <w:szCs w:val="18"/>
        </w:rPr>
        <w:t xml:space="preserve"> </w:t>
      </w:r>
      <w:r w:rsidR="00054AB9">
        <w:rPr>
          <w:b/>
          <w:sz w:val="20"/>
          <w:szCs w:val="18"/>
        </w:rPr>
        <w:t xml:space="preserve">a Jitka </w:t>
      </w:r>
      <w:proofErr w:type="spellStart"/>
      <w:r w:rsidR="00054AB9">
        <w:rPr>
          <w:b/>
          <w:sz w:val="20"/>
          <w:szCs w:val="18"/>
        </w:rPr>
        <w:t>Šosová</w:t>
      </w:r>
      <w:proofErr w:type="spellEnd"/>
    </w:p>
    <w:sectPr w:rsidR="00840B12" w:rsidRPr="00840B12" w:rsidSect="002D28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8EF1" w14:textId="77777777" w:rsidR="008A4D07" w:rsidRDefault="008A4D07" w:rsidP="00AC1C52">
      <w:pPr>
        <w:spacing w:after="0" w:line="240" w:lineRule="auto"/>
      </w:pPr>
      <w:r>
        <w:separator/>
      </w:r>
    </w:p>
  </w:endnote>
  <w:endnote w:type="continuationSeparator" w:id="0">
    <w:p w14:paraId="698C887E" w14:textId="77777777" w:rsidR="008A4D07" w:rsidRDefault="008A4D07" w:rsidP="00AC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Umprum">
    <w:altName w:val="Calibri"/>
    <w:panose1 w:val="020B0604020202020204"/>
    <w:charset w:val="00"/>
    <w:family w:val="modern"/>
    <w:pitch w:val="variable"/>
    <w:sig w:usb0="0000009F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343620"/>
      <w:docPartObj>
        <w:docPartGallery w:val="Page Numbers (Bottom of Page)"/>
        <w:docPartUnique/>
      </w:docPartObj>
    </w:sdtPr>
    <w:sdtContent>
      <w:p w14:paraId="2C40EDAC" w14:textId="54D428CB" w:rsidR="00DC3B64" w:rsidRDefault="00DC3B6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EF">
          <w:rPr>
            <w:noProof/>
          </w:rPr>
          <w:t>5</w:t>
        </w:r>
        <w:r>
          <w:fldChar w:fldCharType="end"/>
        </w:r>
        <w:r>
          <w:t xml:space="preserve">                  </w:t>
        </w:r>
        <w:r w:rsidRPr="00526F82">
          <w:rPr>
            <w:color w:val="3333CC"/>
            <w:sz w:val="16"/>
          </w:rPr>
          <w:t>Plán genderové rovnosti UMPRUM (</w:t>
        </w:r>
        <w:proofErr w:type="gramStart"/>
        <w:r w:rsidRPr="00526F82">
          <w:rPr>
            <w:color w:val="3333CC"/>
            <w:sz w:val="16"/>
          </w:rPr>
          <w:t>2022 – 2026</w:t>
        </w:r>
        <w:proofErr w:type="gramEnd"/>
        <w:r w:rsidRPr="00526F82">
          <w:rPr>
            <w:color w:val="3333CC"/>
            <w:sz w:val="16"/>
          </w:rPr>
          <w:t xml:space="preserve">) </w:t>
        </w:r>
        <w:r>
          <w:tab/>
        </w:r>
      </w:p>
    </w:sdtContent>
  </w:sdt>
  <w:p w14:paraId="2140A6CD" w14:textId="77777777" w:rsidR="00AC1C52" w:rsidRDefault="00AC1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4E3F" w14:textId="77777777" w:rsidR="008A4D07" w:rsidRDefault="008A4D07" w:rsidP="00AC1C52">
      <w:pPr>
        <w:spacing w:after="0" w:line="240" w:lineRule="auto"/>
      </w:pPr>
      <w:r>
        <w:separator/>
      </w:r>
    </w:p>
  </w:footnote>
  <w:footnote w:type="continuationSeparator" w:id="0">
    <w:p w14:paraId="70733D11" w14:textId="77777777" w:rsidR="008A4D07" w:rsidRDefault="008A4D07" w:rsidP="00AC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42896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1D34B2"/>
    <w:multiLevelType w:val="hybridMultilevel"/>
    <w:tmpl w:val="093221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3D7E"/>
    <w:multiLevelType w:val="hybridMultilevel"/>
    <w:tmpl w:val="BAC22B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E46D54"/>
    <w:multiLevelType w:val="hybridMultilevel"/>
    <w:tmpl w:val="32C4D15E"/>
    <w:lvl w:ilvl="0" w:tplc="7B20EA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C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4666"/>
    <w:multiLevelType w:val="hybridMultilevel"/>
    <w:tmpl w:val="097E80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C68FB"/>
    <w:multiLevelType w:val="hybridMultilevel"/>
    <w:tmpl w:val="85045F5C"/>
    <w:lvl w:ilvl="0" w:tplc="AB84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E13B4"/>
    <w:multiLevelType w:val="hybridMultilevel"/>
    <w:tmpl w:val="842C0EF2"/>
    <w:lvl w:ilvl="0" w:tplc="D0F6108E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1A52B4"/>
    <w:multiLevelType w:val="hybridMultilevel"/>
    <w:tmpl w:val="0720B8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2D2F33"/>
    <w:multiLevelType w:val="hybridMultilevel"/>
    <w:tmpl w:val="C510A7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E71686"/>
    <w:multiLevelType w:val="hybridMultilevel"/>
    <w:tmpl w:val="A26A69A2"/>
    <w:lvl w:ilvl="0" w:tplc="B0924F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D6F39"/>
    <w:multiLevelType w:val="hybridMultilevel"/>
    <w:tmpl w:val="7F6A6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B6F49"/>
    <w:multiLevelType w:val="hybridMultilevel"/>
    <w:tmpl w:val="0FC42B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3A5D9B"/>
    <w:multiLevelType w:val="hybridMultilevel"/>
    <w:tmpl w:val="AAA4C5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7942907"/>
    <w:multiLevelType w:val="hybridMultilevel"/>
    <w:tmpl w:val="34760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32893">
    <w:abstractNumId w:val="13"/>
  </w:num>
  <w:num w:numId="2" w16cid:durableId="1846902211">
    <w:abstractNumId w:val="6"/>
  </w:num>
  <w:num w:numId="3" w16cid:durableId="607085917">
    <w:abstractNumId w:val="10"/>
  </w:num>
  <w:num w:numId="4" w16cid:durableId="797603552">
    <w:abstractNumId w:val="5"/>
  </w:num>
  <w:num w:numId="5" w16cid:durableId="2011445021">
    <w:abstractNumId w:val="12"/>
  </w:num>
  <w:num w:numId="6" w16cid:durableId="193547044">
    <w:abstractNumId w:val="3"/>
  </w:num>
  <w:num w:numId="7" w16cid:durableId="1010639039">
    <w:abstractNumId w:val="7"/>
  </w:num>
  <w:num w:numId="8" w16cid:durableId="1913419608">
    <w:abstractNumId w:val="11"/>
  </w:num>
  <w:num w:numId="9" w16cid:durableId="1958559687">
    <w:abstractNumId w:val="8"/>
  </w:num>
  <w:num w:numId="10" w16cid:durableId="983657713">
    <w:abstractNumId w:val="4"/>
  </w:num>
  <w:num w:numId="11" w16cid:durableId="723257399">
    <w:abstractNumId w:val="1"/>
  </w:num>
  <w:num w:numId="12" w16cid:durableId="610742761">
    <w:abstractNumId w:val="0"/>
  </w:num>
  <w:num w:numId="13" w16cid:durableId="1011837328">
    <w:abstractNumId w:val="2"/>
  </w:num>
  <w:num w:numId="14" w16cid:durableId="723985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FB"/>
    <w:rsid w:val="00014921"/>
    <w:rsid w:val="00015953"/>
    <w:rsid w:val="00037A33"/>
    <w:rsid w:val="00054AB9"/>
    <w:rsid w:val="0009316A"/>
    <w:rsid w:val="000B644D"/>
    <w:rsid w:val="000C3EB7"/>
    <w:rsid w:val="000D32A3"/>
    <w:rsid w:val="000D60E1"/>
    <w:rsid w:val="000E6593"/>
    <w:rsid w:val="000F114F"/>
    <w:rsid w:val="000F42FD"/>
    <w:rsid w:val="00106198"/>
    <w:rsid w:val="001135B2"/>
    <w:rsid w:val="0012156B"/>
    <w:rsid w:val="001228AC"/>
    <w:rsid w:val="00125BFB"/>
    <w:rsid w:val="00137E62"/>
    <w:rsid w:val="00151A94"/>
    <w:rsid w:val="00165276"/>
    <w:rsid w:val="00172A15"/>
    <w:rsid w:val="00174367"/>
    <w:rsid w:val="00187246"/>
    <w:rsid w:val="001B2123"/>
    <w:rsid w:val="001B24D3"/>
    <w:rsid w:val="001C5BCA"/>
    <w:rsid w:val="001E7B94"/>
    <w:rsid w:val="001F5D99"/>
    <w:rsid w:val="00262A2A"/>
    <w:rsid w:val="0026490B"/>
    <w:rsid w:val="00274E87"/>
    <w:rsid w:val="00282BFB"/>
    <w:rsid w:val="00286605"/>
    <w:rsid w:val="00292449"/>
    <w:rsid w:val="0029392F"/>
    <w:rsid w:val="002A49FD"/>
    <w:rsid w:val="002B30B4"/>
    <w:rsid w:val="002B7535"/>
    <w:rsid w:val="002C1B73"/>
    <w:rsid w:val="002D39BC"/>
    <w:rsid w:val="002D57F0"/>
    <w:rsid w:val="002E3E9A"/>
    <w:rsid w:val="002F19DD"/>
    <w:rsid w:val="002F1D4E"/>
    <w:rsid w:val="003241A9"/>
    <w:rsid w:val="003340B3"/>
    <w:rsid w:val="003545AA"/>
    <w:rsid w:val="00370829"/>
    <w:rsid w:val="0038045D"/>
    <w:rsid w:val="00380D71"/>
    <w:rsid w:val="0038230F"/>
    <w:rsid w:val="00382389"/>
    <w:rsid w:val="00394C18"/>
    <w:rsid w:val="003A20E9"/>
    <w:rsid w:val="003D30A0"/>
    <w:rsid w:val="003D5672"/>
    <w:rsid w:val="003E19F9"/>
    <w:rsid w:val="003E2CCB"/>
    <w:rsid w:val="003E62D3"/>
    <w:rsid w:val="003F3931"/>
    <w:rsid w:val="003F74A9"/>
    <w:rsid w:val="00405B16"/>
    <w:rsid w:val="0040786A"/>
    <w:rsid w:val="004372BF"/>
    <w:rsid w:val="00451FD9"/>
    <w:rsid w:val="00454882"/>
    <w:rsid w:val="004562DB"/>
    <w:rsid w:val="00462597"/>
    <w:rsid w:val="004718FB"/>
    <w:rsid w:val="004770FB"/>
    <w:rsid w:val="00497994"/>
    <w:rsid w:val="00497D71"/>
    <w:rsid w:val="004C0CCB"/>
    <w:rsid w:val="004C6C6F"/>
    <w:rsid w:val="004D223E"/>
    <w:rsid w:val="004E0445"/>
    <w:rsid w:val="004E0AE1"/>
    <w:rsid w:val="00505856"/>
    <w:rsid w:val="00526F82"/>
    <w:rsid w:val="00557419"/>
    <w:rsid w:val="00567D4B"/>
    <w:rsid w:val="005855B3"/>
    <w:rsid w:val="005A22D3"/>
    <w:rsid w:val="005B5601"/>
    <w:rsid w:val="005E217C"/>
    <w:rsid w:val="005E75D3"/>
    <w:rsid w:val="00602421"/>
    <w:rsid w:val="006120AC"/>
    <w:rsid w:val="0062236A"/>
    <w:rsid w:val="0062623D"/>
    <w:rsid w:val="006448BD"/>
    <w:rsid w:val="0066088C"/>
    <w:rsid w:val="006753A5"/>
    <w:rsid w:val="00677499"/>
    <w:rsid w:val="006942E3"/>
    <w:rsid w:val="006A3258"/>
    <w:rsid w:val="006C3779"/>
    <w:rsid w:val="006D7777"/>
    <w:rsid w:val="006F0EEF"/>
    <w:rsid w:val="00702311"/>
    <w:rsid w:val="00704E6C"/>
    <w:rsid w:val="0072164B"/>
    <w:rsid w:val="007375D0"/>
    <w:rsid w:val="00746868"/>
    <w:rsid w:val="007474AD"/>
    <w:rsid w:val="007549C8"/>
    <w:rsid w:val="00760B47"/>
    <w:rsid w:val="007734E4"/>
    <w:rsid w:val="007827EA"/>
    <w:rsid w:val="00790FDD"/>
    <w:rsid w:val="007A4BC2"/>
    <w:rsid w:val="007C501E"/>
    <w:rsid w:val="007C5E77"/>
    <w:rsid w:val="007C754F"/>
    <w:rsid w:val="007E31F9"/>
    <w:rsid w:val="007E41CC"/>
    <w:rsid w:val="007E484B"/>
    <w:rsid w:val="00816DE6"/>
    <w:rsid w:val="0081768F"/>
    <w:rsid w:val="00840B12"/>
    <w:rsid w:val="00854F2C"/>
    <w:rsid w:val="00857D93"/>
    <w:rsid w:val="00872ACE"/>
    <w:rsid w:val="008858C8"/>
    <w:rsid w:val="00885A85"/>
    <w:rsid w:val="008A0C99"/>
    <w:rsid w:val="008A3B27"/>
    <w:rsid w:val="008A4D07"/>
    <w:rsid w:val="008A7DEE"/>
    <w:rsid w:val="008F6EEE"/>
    <w:rsid w:val="008F7B1B"/>
    <w:rsid w:val="00922E87"/>
    <w:rsid w:val="009263E7"/>
    <w:rsid w:val="00937A80"/>
    <w:rsid w:val="00975002"/>
    <w:rsid w:val="00987018"/>
    <w:rsid w:val="00987E1C"/>
    <w:rsid w:val="00993472"/>
    <w:rsid w:val="00995D4B"/>
    <w:rsid w:val="009A5CF1"/>
    <w:rsid w:val="009B281E"/>
    <w:rsid w:val="009B7211"/>
    <w:rsid w:val="009E1C7F"/>
    <w:rsid w:val="009F4382"/>
    <w:rsid w:val="00A12F6F"/>
    <w:rsid w:val="00A20953"/>
    <w:rsid w:val="00A20C0E"/>
    <w:rsid w:val="00A22E02"/>
    <w:rsid w:val="00A35B5B"/>
    <w:rsid w:val="00A728B6"/>
    <w:rsid w:val="00A8188A"/>
    <w:rsid w:val="00A82C20"/>
    <w:rsid w:val="00AA562B"/>
    <w:rsid w:val="00AB0EE6"/>
    <w:rsid w:val="00AB1E79"/>
    <w:rsid w:val="00AB54E0"/>
    <w:rsid w:val="00AC1C52"/>
    <w:rsid w:val="00AD4861"/>
    <w:rsid w:val="00AE06B2"/>
    <w:rsid w:val="00B068AF"/>
    <w:rsid w:val="00B46172"/>
    <w:rsid w:val="00B70582"/>
    <w:rsid w:val="00B92AC3"/>
    <w:rsid w:val="00B936B5"/>
    <w:rsid w:val="00B9553B"/>
    <w:rsid w:val="00B95B79"/>
    <w:rsid w:val="00B9642D"/>
    <w:rsid w:val="00BB3618"/>
    <w:rsid w:val="00BB6164"/>
    <w:rsid w:val="00BE1B16"/>
    <w:rsid w:val="00BE5080"/>
    <w:rsid w:val="00BE5881"/>
    <w:rsid w:val="00BE6546"/>
    <w:rsid w:val="00BF119B"/>
    <w:rsid w:val="00BF5AAB"/>
    <w:rsid w:val="00C10C0C"/>
    <w:rsid w:val="00C21F54"/>
    <w:rsid w:val="00C44D86"/>
    <w:rsid w:val="00C4795E"/>
    <w:rsid w:val="00C564D4"/>
    <w:rsid w:val="00C735CA"/>
    <w:rsid w:val="00C77BEC"/>
    <w:rsid w:val="00C80869"/>
    <w:rsid w:val="00C82FC2"/>
    <w:rsid w:val="00C83A86"/>
    <w:rsid w:val="00CA1894"/>
    <w:rsid w:val="00CA3C7B"/>
    <w:rsid w:val="00CA4230"/>
    <w:rsid w:val="00CA6209"/>
    <w:rsid w:val="00CA724B"/>
    <w:rsid w:val="00CB1E67"/>
    <w:rsid w:val="00CB2D5A"/>
    <w:rsid w:val="00CB2FC2"/>
    <w:rsid w:val="00CB73C5"/>
    <w:rsid w:val="00CD1247"/>
    <w:rsid w:val="00CF32CA"/>
    <w:rsid w:val="00D250B1"/>
    <w:rsid w:val="00D61CFD"/>
    <w:rsid w:val="00D66911"/>
    <w:rsid w:val="00D71BAB"/>
    <w:rsid w:val="00D9478B"/>
    <w:rsid w:val="00DA0E3B"/>
    <w:rsid w:val="00DB72B0"/>
    <w:rsid w:val="00DC3B64"/>
    <w:rsid w:val="00DC7439"/>
    <w:rsid w:val="00E029A6"/>
    <w:rsid w:val="00E128EC"/>
    <w:rsid w:val="00E12B63"/>
    <w:rsid w:val="00E16A87"/>
    <w:rsid w:val="00E349AD"/>
    <w:rsid w:val="00E678FA"/>
    <w:rsid w:val="00E70583"/>
    <w:rsid w:val="00E73BD8"/>
    <w:rsid w:val="00EC0F9F"/>
    <w:rsid w:val="00EC5CF1"/>
    <w:rsid w:val="00EF5E78"/>
    <w:rsid w:val="00F56270"/>
    <w:rsid w:val="00F931CF"/>
    <w:rsid w:val="00F95EA3"/>
    <w:rsid w:val="00F97E45"/>
    <w:rsid w:val="00FA3EB5"/>
    <w:rsid w:val="00FA5C13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569FF"/>
  <w15:chartTrackingRefBased/>
  <w15:docId w15:val="{A51C9211-CF17-4E67-88D6-F9007548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mprum" w:eastAsiaTheme="minorHAnsi" w:hAnsi="Umprum" w:cs="Times New Roman"/>
        <w:color w:val="000000"/>
        <w:sz w:val="18"/>
        <w:szCs w:val="23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C52"/>
  </w:style>
  <w:style w:type="paragraph" w:styleId="Zpat">
    <w:name w:val="footer"/>
    <w:basedOn w:val="Normln"/>
    <w:link w:val="ZpatChar"/>
    <w:uiPriority w:val="99"/>
    <w:unhideWhenUsed/>
    <w:rsid w:val="00AC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C52"/>
  </w:style>
  <w:style w:type="paragraph" w:styleId="Odstavecseseznamem">
    <w:name w:val="List Paragraph"/>
    <w:basedOn w:val="Normln"/>
    <w:uiPriority w:val="34"/>
    <w:qFormat/>
    <w:rsid w:val="00CA42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36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6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6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6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6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6B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6B5"/>
    <w:rPr>
      <w:rFonts w:ascii="Segoe UI" w:hAnsi="Segoe UI" w:cs="Segoe UI"/>
      <w:szCs w:val="18"/>
    </w:rPr>
  </w:style>
  <w:style w:type="table" w:styleId="Mkatabulky">
    <w:name w:val="Table Grid"/>
    <w:basedOn w:val="Normlntabulka"/>
    <w:uiPriority w:val="39"/>
    <w:rsid w:val="0049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unhideWhenUsed/>
    <w:rsid w:val="00CA1894"/>
    <w:pPr>
      <w:numPr>
        <w:numId w:val="12"/>
      </w:numPr>
      <w:contextualSpacing/>
    </w:pPr>
  </w:style>
  <w:style w:type="paragraph" w:customStyle="1" w:styleId="Default">
    <w:name w:val="Default"/>
    <w:rsid w:val="000D6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816DE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5AAB"/>
    <w:rPr>
      <w:color w:val="0563C1" w:themeColor="hyperlink"/>
      <w:u w:val="single"/>
    </w:rPr>
  </w:style>
  <w:style w:type="character" w:customStyle="1" w:styleId="whitespace-normal">
    <w:name w:val="whitespace-normal"/>
    <w:basedOn w:val="Standardnpsmoodstavce"/>
    <w:rsid w:val="00A728B6"/>
  </w:style>
  <w:style w:type="character" w:styleId="Sledovanodkaz">
    <w:name w:val="FollowedHyperlink"/>
    <w:basedOn w:val="Standardnpsmoodstavce"/>
    <w:uiPriority w:val="99"/>
    <w:semiHidden/>
    <w:unhideWhenUsed/>
    <w:rsid w:val="007E484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4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mprum.cz/cs/intranet/student/system-podpor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C5D1-09DB-49D0-9D09-4EB643A5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1777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Baumannová</dc:creator>
  <cp:keywords/>
  <dc:description/>
  <cp:lastModifiedBy>Tereza Nešetřil Vejřík</cp:lastModifiedBy>
  <cp:revision>4</cp:revision>
  <cp:lastPrinted>2023-02-27T14:39:00Z</cp:lastPrinted>
  <dcterms:created xsi:type="dcterms:W3CDTF">2026-03-09T15:30:00Z</dcterms:created>
  <dcterms:modified xsi:type="dcterms:W3CDTF">2026-03-17T17:12:00Z</dcterms:modified>
</cp:coreProperties>
</file>